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90" w:lineRule="exact"/>
        <w:jc w:val="center"/>
        <w:rPr>
          <w:rFonts w:ascii="方正小标宋_GBK" w:hAnsi="方正小标宋_GBK" w:eastAsia="方正小标宋_GBK" w:cs="方正小标宋_GBK"/>
          <w:spacing w:val="6"/>
          <w:kern w:val="0"/>
          <w:sz w:val="44"/>
          <w:szCs w:val="44"/>
        </w:rPr>
      </w:pPr>
    </w:p>
    <w:p>
      <w:pPr>
        <w:spacing w:line="590" w:lineRule="exact"/>
        <w:jc w:val="center"/>
        <w:rPr>
          <w:rFonts w:ascii="方正小标宋_GBK" w:hAnsi="方正小标宋_GBK" w:eastAsia="方正小标宋_GBK" w:cs="方正小标宋_GBK"/>
          <w:spacing w:val="6"/>
          <w:kern w:val="0"/>
          <w:sz w:val="44"/>
          <w:szCs w:val="44"/>
        </w:rPr>
      </w:pPr>
    </w:p>
    <w:p>
      <w:pPr>
        <w:spacing w:line="590" w:lineRule="exact"/>
        <w:jc w:val="center"/>
        <w:rPr>
          <w:rFonts w:ascii="方正小标宋_GBK" w:hAnsi="方正小标宋_GBK" w:eastAsia="方正小标宋_GBK" w:cs="方正小标宋_GBK"/>
          <w:spacing w:val="6"/>
          <w:kern w:val="0"/>
          <w:sz w:val="44"/>
          <w:szCs w:val="44"/>
        </w:rPr>
      </w:pPr>
    </w:p>
    <w:p>
      <w:pPr>
        <w:spacing w:line="590" w:lineRule="exact"/>
        <w:jc w:val="center"/>
        <w:rPr>
          <w:rFonts w:ascii="方正小标宋_GBK" w:hAnsi="方正小标宋_GBK" w:eastAsia="方正小标宋_GBK" w:cs="方正小标宋_GBK"/>
          <w:spacing w:val="6"/>
          <w:kern w:val="0"/>
          <w:sz w:val="44"/>
          <w:szCs w:val="44"/>
        </w:rPr>
      </w:pPr>
      <w:r>
        <w:rPr>
          <w:rFonts w:hint="eastAsia" w:ascii="方正小标宋_GBK" w:hAnsi="方正小标宋_GBK" w:eastAsia="方正小标宋_GBK" w:cs="方正小标宋_GBK"/>
          <w:spacing w:val="6"/>
          <w:kern w:val="0"/>
          <w:sz w:val="44"/>
          <w:szCs w:val="44"/>
        </w:rPr>
        <w:t>云南省人力资源和社会保障厅2017年</w:t>
      </w:r>
    </w:p>
    <w:p>
      <w:pPr>
        <w:spacing w:line="590" w:lineRule="exact"/>
        <w:jc w:val="center"/>
        <w:rPr>
          <w:rFonts w:ascii="方正小标宋_GBK" w:hAnsi="方正小标宋_GBK" w:eastAsia="方正小标宋_GBK" w:cs="方正小标宋_GBK"/>
          <w:spacing w:val="6"/>
          <w:kern w:val="0"/>
          <w:sz w:val="44"/>
          <w:szCs w:val="44"/>
        </w:rPr>
      </w:pPr>
      <w:r>
        <w:rPr>
          <w:rFonts w:hint="eastAsia" w:ascii="方正小标宋_GBK" w:hAnsi="方正小标宋_GBK" w:eastAsia="方正小标宋_GBK" w:cs="方正小标宋_GBK"/>
          <w:sz w:val="44"/>
          <w:szCs w:val="44"/>
        </w:rPr>
        <w:t>整体支出绩效自评报告</w:t>
      </w:r>
    </w:p>
    <w:p>
      <w:pPr>
        <w:spacing w:line="590" w:lineRule="exact"/>
        <w:rPr>
          <w:rFonts w:ascii="仿宋_GB2312" w:hAnsi="仿宋_GB2312" w:eastAsia="仿宋_GB2312" w:cs="仿宋_GB2312"/>
          <w:spacing w:val="6"/>
          <w:kern w:val="0"/>
          <w:sz w:val="32"/>
          <w:szCs w:val="32"/>
        </w:rPr>
      </w:pP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根据《云南省财政厅关于开展2017年度</w:t>
      </w:r>
      <w:bookmarkStart w:id="5" w:name="_GoBack"/>
      <w:bookmarkEnd w:id="5"/>
      <w:r>
        <w:rPr>
          <w:rFonts w:hint="eastAsia" w:ascii="仿宋_GB2312" w:hAnsi="仿宋_GB2312" w:eastAsia="仿宋_GB2312" w:cs="仿宋_GB2312"/>
          <w:sz w:val="32"/>
          <w:szCs w:val="32"/>
        </w:rPr>
        <w:t>预算绩效自评有关事项的通知》（云财预〔2018〕64号）的要求，我厅于2018年4月至2018年7月开展了2017年部门整体支出进行绩效自评工作。现将自评情况报告如下：</w:t>
      </w:r>
    </w:p>
    <w:p>
      <w:pPr>
        <w:spacing w:line="560" w:lineRule="exact"/>
        <w:ind w:firstLine="640" w:firstLineChars="200"/>
        <w:rPr>
          <w:rFonts w:ascii="黑体" w:hAnsi="黑体" w:eastAsia="黑体" w:cs="黑体"/>
          <w:sz w:val="32"/>
          <w:szCs w:val="32"/>
        </w:rPr>
      </w:pPr>
      <w:bookmarkStart w:id="0" w:name="YS060101"/>
      <w:bookmarkStart w:id="1" w:name="_Toc499882819"/>
      <w:r>
        <w:rPr>
          <w:rFonts w:hint="eastAsia" w:ascii="黑体" w:hAnsi="黑体" w:eastAsia="黑体" w:cs="黑体"/>
          <w:sz w:val="32"/>
          <w:szCs w:val="32"/>
        </w:rPr>
        <w:t>一、部门（单位）情况</w:t>
      </w:r>
    </w:p>
    <w:bookmarkEnd w:id="0"/>
    <w:p>
      <w:pPr>
        <w:spacing w:line="56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（一）基本情况</w:t>
      </w:r>
    </w:p>
    <w:p>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1．主要职能。</w:t>
      </w:r>
    </w:p>
    <w:p>
      <w:pPr>
        <w:widowControl/>
        <w:shd w:val="clear" w:color="auto" w:fill="FFFFFF"/>
        <w:spacing w:line="560" w:lineRule="exact"/>
        <w:ind w:firstLine="645"/>
        <w:rPr>
          <w:rFonts w:ascii="华文仿宋" w:hAnsi="华文仿宋" w:eastAsia="华文仿宋" w:cs="华文仿宋"/>
          <w:sz w:val="32"/>
          <w:szCs w:val="32"/>
        </w:rPr>
      </w:pPr>
      <w:r>
        <w:rPr>
          <w:rFonts w:hint="eastAsia" w:ascii="华文仿宋" w:hAnsi="华文仿宋" w:eastAsia="华文仿宋" w:cs="华文仿宋"/>
          <w:sz w:val="32"/>
          <w:szCs w:val="32"/>
        </w:rPr>
        <w:t>我厅承担着创业就业、社会保障、人才建设、人事制度管理、收入分配、劳动关系等6大板块的工作，作为全省人力资源和社会保障工作的业务主管部门。我厅的主要职责涵盖了人事人才、城乡就业、社会保障、公务员管理、军队转业安置、收入分配、劳动关系、国外引智以及技能扶贫、农村劳动力转移、健康扶贫、社保扶贫等方面。2017年我厅的总体工作思路是：重点围绕落实全面从严治党主体责任，持之以恒抓好党建和党风廉政建设；围绕就业这个民生之本，加大就业岗位供给，让各族群众享有更稳定的工作；围绕发挥好社会保障兜底功能，加强社保与服务供给，让各族群众享有更可靠的社会保障；提升人事管理科学化水平，激发干部队伍活力，优化干事创业环境；围绕为跨越式发展提供人才保障，加强人才供给，让各类人才享有创新创业的宽广舞台；围绕合理调节收入分配水平，统筹各类群体待遇，让各族群众享有更满意的收入；围绕维护劳动者合法权益，加强和谐劳动关系构建，让各族群众享有更安全的社会环境；围绕夯实人社工作基础，强力推动基础设施和信息化建设，让各族群众享有更便捷的公共服务。</w:t>
      </w:r>
    </w:p>
    <w:p>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2.机构情况</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我厅共有下属财务核算单位26家，行政单位4个，事业单位22个。</w:t>
      </w:r>
    </w:p>
    <w:p>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3.人员情况</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2017年我厅编制人数1093人，其中：行政编制299人，事业编制794人（其中：参公管理单位208人，财政补助554人，经费自理32人）。年末实有人数947人，其中：行政人员295人，事业人员652人（其中：参公管理单位159人，财政补助469人，经费自理24人）。</w:t>
      </w:r>
    </w:p>
    <w:p>
      <w:pPr>
        <w:spacing w:line="56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（二）2017年取得的主要事业成效</w:t>
      </w:r>
    </w:p>
    <w:p>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1.注重服务大局，不断提高人社工作贡献率。</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通过实施社保优惠政策减轻企业负担。2017年降低企业成本30亿元以上。</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通过做好化解过剩产能职工安置工作服务供给侧结构性改革。2017年，全省化解钢铁煤炭行业过剩产能已分流安置职工6466人，其中，2016年度结转分流安置4465人，2017年度分流安置2001人。</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通过开展“两个专项行动”服务脱贫攻坚。截至12月底，全省共实现累计转移就业1443.27万人次。</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通过深化人社领域改革释放改革红利。2017年重点推进20项改革，改革完成率排在省直机关前列。</w:t>
      </w:r>
    </w:p>
    <w:p>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2.强化创业引领，不断拓展就业渠道。</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坚持不懈抓好就业这个民生之本，把确保就业局势稳定作为重要政治责任和全系统第一位的工作抓紧抓实。截至12月底，全省城镇新增就业人数为49.02万人，完成全年44万人目标任务的111.41%；城镇失业人员再就业16.05万人，完成全年13万人目标任务的123.46%；城镇登记失业率为3.2%，就业形势稳中向好。</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实施“云岭全民创业计划”。全省共扶持创业12.24万人，完成全省扶持12万人任务数的101.98%，发放贷款128.28亿元，完成计划数102亿元的125.76%。</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做好重点群体就业创业工作。截至12月底，共帮助就业困难群体人员实现就业12.3万人，帮助1576户城镇“零就业家庭”实现至少1人就业。</w:t>
      </w:r>
    </w:p>
    <w:p>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3.推动惠民共享，织密扎牢社会保障安全网。</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坚持以深化社保制度改革为引领，着力构建覆盖城乡社保体系。截至12月底，全省五大保险参保人数达8264.77万人次，基本实现各类群体全覆盖，各项社会保障待遇水平稳步提高，社会保障安全网进一步织密扎牢。</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基本养老保险制度进一步完善。企业退休人员基本养老金调整幅度为6.45%，机关事业单位退休人员基本养老金调整幅度为4.49%。2017年7月1日起城乡居民基础养老金标准从每月75元提高到85元。</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城乡居民医疗保险制度整合顺利实施。2017年各级财政补助标准在2016年的基础上再上调30元，达到每人每年450元，从2017年1月1日起，个人缴费标准提高到每人每年180元。城镇职工医保政策范围内住院费用平均报销比例达到82.84%；城镇居民医保政策范围内住院费用平均报销比例基本稳定在75%左右。</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医保异地结算取得突破性进展。截至12月底，全省17个统筹区（含省本级）已全部接入国家跨省异地就医直接结算系统，实现了医保全国联网结算。省内开通异地就医定点医药机构达6085家，接入跨省异地就医直接结算国家平台的医疗机构达320个。累计跨省结算1866人次、3503.22万元，其中国家平台累计结算1456人次，2510.15万元（发生异地就医238人次，154.14万元）。省内异地就医直接结算累计1722.08万人次，费用121.8亿元。截至12月底，全省制发社会保障卡3782万张，超额完成2017年任务指标。在五家合作银行全省的3800个网点柜面实现了补换卡业务和补换卡收费，163个银行网点开通即时发卡和补换卡业务，覆盖全省所有州市本级和50个区县。</w:t>
      </w:r>
    </w:p>
    <w:p>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4.彰显公平公正，规范提升人事管理水平。</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紧紧围绕实现人事管理科学化的目标，强化“人”“事”精准匹配，不断深化干部人事制度改革，着力建立健全干部正向激励和职业保障机制，激发干部队伍干事创业动力。</w:t>
      </w:r>
    </w:p>
    <w:p>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5.突出人才优先，进一步激发人才队伍活力。</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针对云南人才总量不足、结构不优、素质不高、作用发挥不明显等问题，坚持以习近平总书记人才工作重要思想为引领，不断深化人才体制机制改革，不断优化综合服务环境，不断健全人才服务机制，构建高层次人才“一站式”服务窗口和“一条龙”服务绿色通道，以人才新政吹响人才“集结号”，以人才引擎充分释放创新创造的澎湃动力。全省人才工作呈现氛围环境更加优良、政策制度更加优越、服务支持更加优厚、体制机制更加优质的良好局面。2017年6月，中央组织部人才工作局到云南调研时指出：云南人才工作有特点、有亮点、有成效，许多方面走在全国前列。</w:t>
      </w:r>
    </w:p>
    <w:p>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6.注重统筹兼顾，完善收入分配机制。</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坚持以人民为中心的发展思想，围绕实现缩小工资收入差距的目标，把深化收入分配制度改革，统筹兼顾各类群体工资收入水平，作为推动共享发展的重要基础，工资收入增长与经济发展水平相适应的收入分配制度逐步建立，薪酬分配的激励导向作用进一步发挥，各族群众获得感进一步增强。</w:t>
      </w:r>
    </w:p>
    <w:p>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7.着力维护权益，促进社会和谐稳定。</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深入开展治理拖欠农民工工资问题专项行动。共清查出存在欠薪问题49个，清欠工资3277.3万元、涉及农民工2298人。</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加强劳动人事争议调解仲裁工作。健全劳动人事争议处理制度，全省乡镇（街道）调解组织组建率99%，建立仲裁院151家，截至12月底，共处理劳动人事争议案件2.56万件，仲裁结案率99%。</w:t>
      </w:r>
    </w:p>
    <w:bookmarkEnd w:id="1"/>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二、收入支出预算执行情况分析</w:t>
      </w:r>
    </w:p>
    <w:p>
      <w:pPr>
        <w:spacing w:line="56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（一）2017年预算安排情况</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2017年我厅部门预算总量为64.67亿元，较2016年的27.86亿元增加36.81亿元，增幅为132%。其中，2017年厅本级财力安排的支出63.31亿元（基本支出1.97亿元，项目支出61.34亿元、项目74个），较上年同比增长142%（基本支出增长103%，项目支出增长143.5%，项目个数增长7.2%）；2017年非税收入预算数0.8亿元，较上年同比增长23%。</w:t>
      </w:r>
    </w:p>
    <w:p>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1.2017年厅本级支出可按工作内容分类为就业方面、社保方面、人才方面以及人事管理和收入分配、劳动关系及综合能力建设方面4大类板块。</w:t>
      </w:r>
      <w:r>
        <w:rPr>
          <w:rFonts w:hint="eastAsia" w:ascii="仿宋_GB2312" w:hAnsi="仿宋_GB2312" w:eastAsia="仿宋_GB2312" w:cs="仿宋_GB2312"/>
          <w:sz w:val="32"/>
          <w:szCs w:val="32"/>
        </w:rPr>
        <w:t>其中：</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——就业方面共10个项目，资金总量6.57亿元。</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——社保方面共26个项目，资金总量52.99亿元。</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——人才方面共23个项目，资金总量1.08亿元。</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——人事管理和收入分配、劳动关系及综合能力建设方面共20个项目，资金总量0.7亿元。</w:t>
      </w:r>
    </w:p>
    <w:p>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2.2017年厅本级基本支出可按资金使用用途分为人员经费支出和公用经费支出。</w:t>
      </w:r>
      <w:r>
        <w:rPr>
          <w:rFonts w:hint="eastAsia" w:ascii="仿宋_GB2312" w:hAnsi="仿宋_GB2312" w:eastAsia="仿宋_GB2312" w:cs="仿宋_GB2312"/>
          <w:sz w:val="32"/>
          <w:szCs w:val="32"/>
        </w:rPr>
        <w:t>其中：</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——人员经费支出包括工资福利支出以及对个人和家庭的补助，该部分经费为刚性支出经费，资金总量1.41亿元，较2016年的0.78亿元增长80.8%。</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——公用经费支出即商品和服务支出，该部分支出为我厅开展各项工作的保障经费，资金总量0.56亿元，较2016年的0.18亿元增长211%。</w:t>
      </w:r>
    </w:p>
    <w:p>
      <w:pPr>
        <w:spacing w:line="56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（二）收入支出预算安排情况</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2017年部门预算财务总收入116488.45万元，较上年增长12.53%。其中：一般公共预算113742.86万元，事业收入300万元，事业单位经营收入260万元，其他收入2185.59万元。</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2017年部门支出预算总额为116488.45万元，较上年增长13.16%。其中：本级财力安排1001588.26万元，（其中：基本支出19724.56万元，项目支出80433.70万元），收费成本补偿3028万元，财政专户管理的收入安排的支出3010万元，国有资源有偿使用成本支出1105万元，事业收入安排的支出300万元，事业单位经营收入安排的支出260万元，其他收入安排的支出2185.59万元。</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2017年年中，本级财政预算追加我厅2017年项目经费371.06万元。</w:t>
      </w:r>
    </w:p>
    <w:p>
      <w:pPr>
        <w:spacing w:line="56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（三）收入支出预算执行情况</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2017年部门决算财务总收入165592.17万元，其中：财政拨款收入147694.33万元，事业收入9880.80万元，经营收入4269.14万元，其他收入3747.90万元。</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2017年部门决算财务总支出159217.67万元，其中：基本支出25729.17万元（人员经费18746.73万元，日常公用经费6982.43万元），项目支出129538.34万元，经营支出3950.16万元。</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2017年部门年末结转和结余21876.30万元，其中：基本支出结转369.79万元，项目支出结转19309.65万元，经营结余2196.86万元。</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2017年财政拨款收入147694.33万元，财政拨款支出143779.05元，其中：基本支出22144.98万元（人员经费17848.23万元，日常公用经费4296.75万元），项目支出121634.07万元。</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2017年年末财政拨款收入结转和结余4586.98万元，基本支出结转178.28万元，项目支出结转和结余4408.70万元。</w:t>
      </w:r>
    </w:p>
    <w:p>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1．收入支出与预算对比分析</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2017年预算收入68289.27万元，决算数165592.17万元，差异率为142%。主要是增加了财政拨款收入，年初预算自有一卡通资金及新农保资金6534万元、人才市场经营收入3161.42万元、人力资源开发中心事业收入、经营收入236.94万元未纳入2017年部门预算管理等。</w:t>
      </w:r>
    </w:p>
    <w:p>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2.收入支出结构分析</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（1）2017年财务总收入165592.17万元，其中：财政拨款收入147694.33万元，事业收入3368.79万元，经营收入4269.14万元，其他收入10259.91万元。</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2017年财务总支出159208.75元，其中：基本支出23674.29万元，项目支出131584.30万元，经营支出3950.16万元。</w:t>
      </w:r>
    </w:p>
    <w:p>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三、组织管理情况</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制定政策，规范资金分配管理。制定了《云南省人力资源和社会保障厅对下专项转移支付资金管理暂行办法》、《云南省人力资源和社会保障厅省对下专项转移支付资金绩效管理暂行办法》、《云南省人力资源和社会保障厅专项资金管理暂行办法》、《云南省人力资源和社会保障厅财务管理暂行规定》等管理办法。主要负责制定资金的分配原则和方法、设立和调整、责任划分、资金下达和使用、预算绩效管理与监督检查等方面，规范资金分配管理。</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落实绩效管理责任，强化绩效管理。制定了《云南省人力资源和社会保障厅省级财政性资金支出预算绩效管理暂行办法》，对预算绩效管理的对象和内容、部门预算绩效管理职责、绩效目标管理、绩效运行监控管理、绩效评价管理及绩效评价结果反馈和应用管理方面进行了规定，促进厅属二级预算单位“管项目、管绩效”的主体责任。</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动态督导与重点督导并举，加快预算执行。在日常工作中，动态跟踪全厅预算执行情况，并将预算执行情况定期通报各预算执行单位。同时，根据预算执行薄弱环节，通过召开全厅预算执行专题会议、约谈等方式，及时研究预算执行中存在的问题和困难，提出解决措施，督促预算单位加快预算执行。</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多措并举，扎实做好部门决算编报工作。按照“科学、规范、统一、高效”的原则，扎实认真开展部门决算编报工作。一是做好财政收支对账工作。组织各二级预算单位对全年预算数、实际拨款数分科目、分处室进行全面清理核对，确保账表之间核对一致，保证决算基础数据真实、准确。二是抓好业务培训工作。在参加省财政厅组织的省级部门决算布置、培训后，我厅及时组织召开厅直各二级预算单位的部门决算布置培训会，传达贯彻会议精神，对当年部门决算新增的内容和要求重点进行讲解和培训，做到了由点到面，学习与实践相结合。通过培训，有效地提高了决算编审人员的基本素质，为编报好部门决算报表奠定了坚实的基础。</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（五）强化预、决算公开，</w:t>
      </w:r>
      <w:r>
        <w:rPr>
          <w:rFonts w:hint="eastAsia" w:ascii="仿宋_GB2312" w:hAnsi="仿宋_GB2312" w:eastAsia="仿宋_GB2312" w:cs="仿宋_GB2312"/>
          <w:sz w:val="32"/>
          <w:szCs w:val="32"/>
          <w:lang w:eastAsia="zh-CN"/>
        </w:rPr>
        <w:t>接受社会监督</w:t>
      </w:r>
      <w:r>
        <w:rPr>
          <w:rFonts w:hint="eastAsia" w:ascii="仿宋_GB2312" w:hAnsi="仿宋_GB2312" w:eastAsia="仿宋_GB2312" w:cs="仿宋_GB2312"/>
          <w:sz w:val="32"/>
          <w:szCs w:val="32"/>
        </w:rPr>
        <w:t>。在省人社厅门户网站上设立了部门预、决算公开专栏，用于公开部门预、决算信息。按照“时间、范围、内容、形式”四统一的原则，一是统一公开时间，各预算单位在省财政厅批复部门决算后20个工作日内（2017年8月18日），将部门决算向社会公开；二是明确公开范围，除涉密信息外，所以使用财政资金的单位均需公开本部门决算。四是统一公开形式，在省人力资源和社会保障厅门户网站和省财政厅门户网站同时公开部门决算和“三公”经费决算信息。</w:t>
      </w:r>
    </w:p>
    <w:p>
      <w:pPr>
        <w:spacing w:line="560" w:lineRule="exact"/>
        <w:ind w:firstLine="643" w:firstLineChars="200"/>
        <w:rPr>
          <w:rFonts w:ascii="黑体" w:hAnsi="黑体" w:eastAsia="黑体" w:cs="黑体"/>
          <w:sz w:val="32"/>
          <w:szCs w:val="32"/>
        </w:rPr>
      </w:pPr>
      <w:bookmarkStart w:id="2" w:name="_Toc499882821"/>
      <w:r>
        <w:rPr>
          <w:rFonts w:hint="eastAsia" w:ascii="仿宋_GB2312" w:hAnsi="仿宋_GB2312" w:eastAsia="仿宋_GB2312" w:cs="仿宋_GB2312"/>
          <w:b/>
          <w:bCs/>
          <w:sz w:val="32"/>
          <w:szCs w:val="32"/>
        </w:rPr>
        <w:t>四、</w:t>
      </w:r>
      <w:bookmarkEnd w:id="2"/>
      <w:bookmarkStart w:id="3" w:name="_Toc499882822"/>
      <w:r>
        <w:rPr>
          <w:rFonts w:hint="eastAsia" w:ascii="黑体" w:hAnsi="黑体" w:eastAsia="黑体" w:cs="黑体"/>
          <w:sz w:val="32"/>
          <w:szCs w:val="32"/>
        </w:rPr>
        <w:t>绩效自评情况</w:t>
      </w:r>
      <w:bookmarkEnd w:id="3"/>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我厅认真严格落实了国务院、省委省政府各项任务要求，在财政性资金的使用上积极与省财政厅沟通对接，取得了显著的社会效益。我厅2017年部门支出与年初预算基本一致，达到预期绩效目标。2017年部门整体支出绩效自评分95.5分，自评等级为“优”。</w:t>
      </w:r>
    </w:p>
    <w:p>
      <w:pPr>
        <w:spacing w:line="560" w:lineRule="exact"/>
        <w:ind w:firstLine="640" w:firstLineChars="200"/>
        <w:rPr>
          <w:rFonts w:ascii="黑体" w:hAnsi="黑体" w:eastAsia="黑体" w:cs="黑体"/>
          <w:sz w:val="32"/>
          <w:szCs w:val="32"/>
        </w:rPr>
      </w:pPr>
      <w:bookmarkStart w:id="4" w:name="_Toc499882840"/>
      <w:r>
        <w:rPr>
          <w:rFonts w:hint="eastAsia" w:ascii="黑体" w:hAnsi="黑体" w:eastAsia="黑体" w:cs="黑体"/>
          <w:sz w:val="32"/>
          <w:szCs w:val="32"/>
        </w:rPr>
        <w:t>五、存在问题</w:t>
      </w:r>
      <w:bookmarkEnd w:id="4"/>
    </w:p>
    <w:p>
      <w:pPr>
        <w:spacing w:line="560" w:lineRule="exact"/>
        <w:ind w:firstLine="640" w:firstLineChars="200"/>
        <w:rPr>
          <w:rFonts w:ascii="仿宋_GB2312" w:hAnsi="仿宋_GB2312" w:eastAsia="仿宋_GB2312" w:cs="仿宋_GB2312"/>
          <w:sz w:val="32"/>
          <w:szCs w:val="32"/>
        </w:rPr>
      </w:pPr>
      <w:r>
        <w:rPr>
          <w:rFonts w:hint="eastAsia" w:ascii="楷体_GB2312" w:hAnsi="楷体_GB2312" w:eastAsia="楷体_GB2312" w:cs="楷体_GB2312"/>
          <w:sz w:val="32"/>
          <w:szCs w:val="32"/>
        </w:rPr>
        <w:t>（一）预算执行情况管理不到位。</w:t>
      </w:r>
      <w:r>
        <w:rPr>
          <w:rFonts w:hint="eastAsia" w:ascii="仿宋_GB2312" w:hAnsi="仿宋_GB2312" w:eastAsia="仿宋_GB2312" w:cs="仿宋_GB2312"/>
          <w:spacing w:val="6"/>
          <w:sz w:val="32"/>
          <w:szCs w:val="32"/>
        </w:rPr>
        <w:t>按照《云南省财政厅关于实施财政支出预算执行进度考核的通知》（云财办〔2015〕86号），应对预算执行情况进行分季度考核，但在实际的工作中，我厅未严格对预算执行分季度情况无法进行考核和评价，存在预算执行情况管理不到位的问题。</w:t>
      </w:r>
    </w:p>
    <w:p>
      <w:pPr>
        <w:spacing w:line="560" w:lineRule="exact"/>
        <w:ind w:firstLine="640" w:firstLineChars="200"/>
        <w:rPr>
          <w:rFonts w:ascii="仿宋_GB2312" w:hAnsi="仿宋_GB2312" w:eastAsia="仿宋_GB2312" w:cs="仿宋_GB2312"/>
          <w:sz w:val="32"/>
          <w:szCs w:val="32"/>
        </w:rPr>
      </w:pPr>
      <w:r>
        <w:rPr>
          <w:rFonts w:hint="eastAsia" w:ascii="楷体_GB2312" w:hAnsi="楷体_GB2312" w:eastAsia="楷体_GB2312" w:cs="楷体_GB2312"/>
          <w:sz w:val="32"/>
          <w:szCs w:val="32"/>
        </w:rPr>
        <w:t>（二）绩效管理制度未得到有效执行。</w:t>
      </w:r>
      <w:r>
        <w:rPr>
          <w:rFonts w:hint="eastAsia" w:ascii="仿宋_GB2312" w:hAnsi="仿宋_GB2312" w:eastAsia="仿宋_GB2312" w:cs="仿宋_GB2312"/>
          <w:sz w:val="32"/>
          <w:szCs w:val="32"/>
        </w:rPr>
        <w:t>绩效管理制度未得到有效执行。我厅制定了《云南省人力资源和社会保障厅财政性资金支出预算绩效管理暂行办法》，规定了“预算执行中，预算主管部门、项目实施单位要定期采集绩效运行信息并汇总分析，对绩效目标运行情况进行跟踪管理，项目实施单位应定期编制绩效运行监控报告，并按照预算管理级次向预算主管部门汇报”，实地评价过程中发现预算主管部门和项目实施单位未对绩效目标运行情况进行跟踪管理，编制绩效运行监控报告。</w:t>
      </w:r>
    </w:p>
    <w:p>
      <w:pPr>
        <w:spacing w:line="560" w:lineRule="exact"/>
        <w:ind w:firstLine="640" w:firstLineChars="200"/>
        <w:rPr>
          <w:rFonts w:ascii="仿宋_GB2312" w:hAnsi="仿宋_GB2312" w:eastAsia="仿宋_GB2312" w:cs="仿宋_GB2312"/>
          <w:sz w:val="32"/>
          <w:szCs w:val="32"/>
        </w:rPr>
      </w:pPr>
      <w:r>
        <w:rPr>
          <w:rFonts w:hint="eastAsia" w:ascii="楷体_GB2312" w:hAnsi="楷体_GB2312" w:eastAsia="楷体_GB2312" w:cs="楷体_GB2312"/>
          <w:sz w:val="32"/>
          <w:szCs w:val="32"/>
        </w:rPr>
        <w:t>（三）未按照要求开展绩效自评。</w:t>
      </w:r>
      <w:r>
        <w:rPr>
          <w:rFonts w:hint="eastAsia" w:ascii="仿宋_GB2312" w:hAnsi="仿宋_GB2312" w:eastAsia="仿宋_GB2312" w:cs="仿宋_GB2312"/>
          <w:sz w:val="32"/>
          <w:szCs w:val="32"/>
        </w:rPr>
        <w:t>我厅2017年的绩效自评工作未成立绩效自评工作小组，拟定组织实施方案、建立绩效评价指标体系。仅由规划财务处牵头，厅相关处室、二级预算单位配合提供相关资料，规划财务处根据各单位提供的有关资料，对各项资料进行整理及汇总，形成绩效自评报告。</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六、下一步改进措施</w:t>
      </w:r>
    </w:p>
    <w:p>
      <w:pPr>
        <w:spacing w:line="56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（一）强化绩效，全面保障项目实施效用</w:t>
      </w:r>
    </w:p>
    <w:p>
      <w:pPr>
        <w:widowControl/>
        <w:autoSpaceDN w:val="0"/>
        <w:spacing w:line="560" w:lineRule="exact"/>
        <w:ind w:firstLine="642"/>
        <w:rPr>
          <w:rFonts w:ascii="仿宋_GB2312" w:hAnsi="仿宋_GB2312" w:eastAsia="仿宋_GB2312" w:cs="仿宋_GB2312"/>
          <w:sz w:val="32"/>
          <w:szCs w:val="32"/>
        </w:rPr>
      </w:pPr>
      <w:r>
        <w:rPr>
          <w:rFonts w:hint="eastAsia" w:ascii="仿宋_GB2312" w:hAnsi="仿宋_GB2312" w:eastAsia="仿宋_GB2312" w:cs="仿宋_GB2312"/>
          <w:b/>
          <w:bCs/>
          <w:kern w:val="0"/>
          <w:sz w:val="32"/>
          <w:szCs w:val="32"/>
        </w:rPr>
        <w:t>一是加强制度建设。</w:t>
      </w:r>
      <w:r>
        <w:rPr>
          <w:rFonts w:hint="eastAsia" w:ascii="仿宋_GB2312" w:hAnsi="仿宋_GB2312" w:eastAsia="仿宋_GB2312" w:cs="仿宋_GB2312"/>
          <w:kern w:val="0"/>
          <w:sz w:val="32"/>
          <w:szCs w:val="32"/>
        </w:rPr>
        <w:t>下一步，我们将在多个项目资金管理办法中突出财政资金的绩效管理内容，对预算绩效管理的对象和内容、部门预算绩效管理职责、绩效目标管理、绩效运行监控管理、绩效评价管理及绩效评价结果反馈和应用管理方面进行规定。</w:t>
      </w:r>
      <w:r>
        <w:rPr>
          <w:rFonts w:hint="eastAsia" w:ascii="仿宋_GB2312" w:hAnsi="仿宋_GB2312" w:eastAsia="仿宋_GB2312" w:cs="仿宋_GB2312"/>
          <w:b/>
          <w:bCs/>
          <w:kern w:val="0"/>
          <w:sz w:val="32"/>
          <w:szCs w:val="32"/>
        </w:rPr>
        <w:t>二是建立健全绩效考评体系。</w:t>
      </w:r>
      <w:r>
        <w:rPr>
          <w:rFonts w:hint="eastAsia" w:ascii="仿宋_GB2312" w:hAnsi="仿宋_GB2312" w:eastAsia="仿宋_GB2312" w:cs="仿宋_GB2312"/>
          <w:kern w:val="0"/>
          <w:sz w:val="32"/>
          <w:szCs w:val="32"/>
        </w:rPr>
        <w:t>根据国家有关法律、法规和财政相关文件精神，结合人社部门实际，我厅研究制定绩效评价管理办法、实施方案、实施细则、指标体系，明确绩效考评管理要求，建立了《人社项目绩效评价指标体系》，设计了项目决策、项目管理、项目绩效三个一级指标和项目目标、资金分配、资金管理、项目产出等8个二级指标以及决策依据、分配办法等19个三级指标，按指标在项目管理中的重要性设立了分数权重。下一步，我们将紧紧围绕人社项目支出的重点领域，把项目支出的重点环节以及社会关注度高和事关民生方面的支出项目列作评价对象，选取代表人社工作特点且资金重大的重点项目开展预算绩效综合评价工作。通过绩效评价工作，促使项目单位增强绩效理念，强化支出管理，提高财政资金使用效益。</w:t>
      </w:r>
    </w:p>
    <w:p>
      <w:pPr>
        <w:spacing w:line="56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（二）增收节支，有效降低行政成本</w:t>
      </w:r>
    </w:p>
    <w:p>
      <w:pPr>
        <w:widowControl/>
        <w:spacing w:line="560" w:lineRule="exact"/>
        <w:ind w:firstLine="64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我厅将严格贯彻落实中央八项规定、《党政机关厉行节约反对浪费条例》和省委、省政府关于改进工作作风密切联系群众实施办法精神，不断完善“三公”经费管理制度，严格预算管理，严格控制“三公”经费支出。积极推进公车改革和政府购买服务，从严控制会议、培训、差旅等支出，努力降低行政成本。</w:t>
      </w:r>
    </w:p>
    <w:p>
      <w:pPr>
        <w:spacing w:line="560"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（三）加强管理、规范执行、跟踪问效</w:t>
      </w:r>
    </w:p>
    <w:p>
      <w:pPr>
        <w:spacing w:line="560" w:lineRule="exact"/>
        <w:ind w:firstLine="643" w:firstLineChars="200"/>
        <w:rPr>
          <w:rFonts w:ascii="仿宋_GB2312" w:hAnsi="仿宋_GB2312" w:eastAsia="仿宋_GB2312" w:cs="仿宋_GB2312"/>
          <w:kern w:val="0"/>
          <w:sz w:val="32"/>
          <w:szCs w:val="32"/>
          <w:shd w:val="clear" w:color="auto" w:fill="FFFFFF"/>
        </w:rPr>
      </w:pPr>
      <w:r>
        <w:rPr>
          <w:rFonts w:hint="eastAsia" w:ascii="仿宋_GB2312" w:hAnsi="仿宋_GB2312" w:eastAsia="仿宋_GB2312" w:cs="仿宋_GB2312"/>
          <w:b/>
          <w:bCs/>
          <w:kern w:val="0"/>
          <w:sz w:val="32"/>
          <w:szCs w:val="32"/>
        </w:rPr>
        <w:t>一是</w:t>
      </w:r>
      <w:r>
        <w:rPr>
          <w:rFonts w:hint="eastAsia" w:ascii="仿宋_GB2312" w:hAnsi="仿宋_GB2312" w:eastAsia="仿宋_GB2312" w:cs="仿宋_GB2312"/>
          <w:kern w:val="0"/>
          <w:sz w:val="32"/>
          <w:szCs w:val="32"/>
        </w:rPr>
        <w:t>在预算管理上和执行中，按照经济性、效率性、效果性原则，努力达到“少花钱、多办事、办好事”，增强资金使用的“产出比”意识，采取有效措施，实行资金使用的跟踪问效，切实规避厅属各单位“跑”追加补助的问题，减少财政部门的压力，确保预算的“刚性”；对于必要的预算调整，必须坚持项目单位提交可行性报告，我厅规划财务处调查论证审核，报请厅党组审批的原则，杜绝预算调整的随意性和盲目性，切实提高预算的严肃性；高度重视财政资金拨出后的管理，跟踪问效及时关注各项资金特别是专项资金使用的具体情况，注意资金使用的实际效果，对发现的财政资金使用中存在的分配不合理和效益不高甚至浪费的问题，及时处理，充分发挥财政资金的使用效果。</w:t>
      </w:r>
      <w:r>
        <w:rPr>
          <w:rFonts w:hint="eastAsia" w:ascii="仿宋_GB2312" w:hAnsi="仿宋_GB2312" w:eastAsia="仿宋_GB2312" w:cs="仿宋_GB2312"/>
          <w:b/>
          <w:bCs/>
          <w:kern w:val="0"/>
          <w:sz w:val="32"/>
          <w:szCs w:val="32"/>
          <w:shd w:val="clear" w:color="auto" w:fill="FFFFFF"/>
        </w:rPr>
        <w:t>二是</w:t>
      </w:r>
      <w:r>
        <w:rPr>
          <w:rFonts w:hint="eastAsia" w:ascii="仿宋_GB2312" w:hAnsi="仿宋_GB2312" w:eastAsia="仿宋_GB2312" w:cs="仿宋_GB2312"/>
          <w:kern w:val="0"/>
          <w:sz w:val="32"/>
          <w:szCs w:val="32"/>
          <w:shd w:val="clear" w:color="auto" w:fill="FFFFFF"/>
        </w:rPr>
        <w:t>建立定期清理机制，每月每季度定期汇总清查厅内实拨资金账户结余资金使用情况，跟进上年结转结余每月每季度执行进度，科学测算，合理控制结转结余资金规模</w:t>
      </w:r>
      <w:r>
        <w:rPr>
          <w:rFonts w:hint="eastAsia" w:ascii="仿宋_GB2312" w:hAnsi="仿宋_GB2312" w:eastAsia="仿宋_GB2312" w:cs="仿宋_GB2312"/>
          <w:kern w:val="0"/>
          <w:sz w:val="32"/>
          <w:szCs w:val="32"/>
        </w:rPr>
        <w:t>。</w:t>
      </w:r>
      <w:r>
        <w:rPr>
          <w:rFonts w:hint="eastAsia" w:ascii="仿宋_GB2312" w:hAnsi="仿宋_GB2312" w:eastAsia="仿宋_GB2312" w:cs="仿宋_GB2312"/>
          <w:b/>
          <w:bCs/>
          <w:kern w:val="0"/>
          <w:sz w:val="32"/>
          <w:szCs w:val="32"/>
          <w:shd w:val="clear" w:color="auto" w:fill="FFFFFF"/>
        </w:rPr>
        <w:t>三是</w:t>
      </w:r>
      <w:r>
        <w:rPr>
          <w:rFonts w:hint="eastAsia" w:ascii="仿宋_GB2312" w:hAnsi="仿宋_GB2312" w:eastAsia="仿宋_GB2312" w:cs="仿宋_GB2312"/>
          <w:kern w:val="0"/>
          <w:sz w:val="32"/>
          <w:szCs w:val="32"/>
          <w:shd w:val="clear" w:color="auto" w:fill="FFFFFF"/>
        </w:rPr>
        <w:t>加强内控管理，印发了云南省人力资源和社会保障厅关于开展行政事业单位内部控制基础性评价工作的通知、成立了内部控制基础性评价工作领导小组，下一步，我们将严格开展单位内部控制基础性评价。</w:t>
      </w:r>
    </w:p>
    <w:p>
      <w:pPr>
        <w:spacing w:line="560" w:lineRule="exact"/>
        <w:rPr>
          <w:rFonts w:ascii="仿宋_GB2312" w:hAnsi="仿宋_GB2312" w:eastAsia="仿宋_GB2312" w:cs="仿宋_GB2312"/>
          <w:sz w:val="32"/>
          <w:szCs w:val="32"/>
        </w:rPr>
      </w:pPr>
    </w:p>
    <w:p>
      <w:pPr>
        <w:spacing w:line="560" w:lineRule="exact"/>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云南省人力资源和社会保障厅</w:t>
      </w:r>
    </w:p>
    <w:p>
      <w:pPr>
        <w:spacing w:line="560" w:lineRule="exact"/>
        <w:ind w:firstLine="1280" w:firstLineChars="4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2018年4月28日</w:t>
      </w:r>
    </w:p>
    <w:sectPr>
      <w:footerReference r:id="rId3" w:type="default"/>
      <w:footerReference r:id="rId4" w:type="even"/>
      <w:pgSz w:w="11906" w:h="16838"/>
      <w:pgMar w:top="1985" w:right="1474" w:bottom="1871" w:left="1474" w:header="851" w:footer="1474"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A00002EF" w:usb1="4000004B" w:usb2="00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华文仿宋">
    <w:altName w:val="仿宋"/>
    <w:panose1 w:val="02010600040101010101"/>
    <w:charset w:val="86"/>
    <w:family w:val="auto"/>
    <w:pitch w:val="default"/>
    <w:sig w:usb0="00000000" w:usb1="00000000" w:usb2="00000010" w:usb3="00000000" w:csb0="000400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Fonts w:ascii="仿宋" w:hAnsi="仿宋" w:eastAsia="仿宋"/>
        <w:sz w:val="28"/>
        <w:szCs w:val="28"/>
      </w:rPr>
    </w:pPr>
    <w:r>
      <w:rPr>
        <w:rFonts w:hint="eastAsia" w:ascii="仿宋" w:hAnsi="仿宋" w:eastAsia="仿宋"/>
        <w:sz w:val="28"/>
        <w:szCs w:val="28"/>
      </w:rPr>
      <w:t xml:space="preserve">－ </w:t>
    </w:r>
    <w:r>
      <w:rPr>
        <w:rFonts w:ascii="仿宋" w:hAnsi="仿宋" w:eastAsia="仿宋"/>
        <w:sz w:val="28"/>
        <w:szCs w:val="28"/>
      </w:rPr>
      <w:fldChar w:fldCharType="begin"/>
    </w:r>
    <w:r>
      <w:rPr>
        <w:rFonts w:ascii="仿宋" w:hAnsi="仿宋" w:eastAsia="仿宋"/>
        <w:sz w:val="28"/>
        <w:szCs w:val="28"/>
      </w:rPr>
      <w:instrText xml:space="preserve">PAGE   \* MERGEFORMAT</w:instrText>
    </w:r>
    <w:r>
      <w:rPr>
        <w:rFonts w:ascii="仿宋" w:hAnsi="仿宋" w:eastAsia="仿宋"/>
        <w:sz w:val="28"/>
        <w:szCs w:val="28"/>
      </w:rPr>
      <w:fldChar w:fldCharType="separate"/>
    </w:r>
    <w:r>
      <w:rPr>
        <w:rFonts w:ascii="仿宋" w:hAnsi="仿宋" w:eastAsia="仿宋"/>
        <w:sz w:val="28"/>
        <w:szCs w:val="28"/>
        <w:lang w:val="zh-CN"/>
      </w:rPr>
      <w:t>13</w:t>
    </w:r>
    <w:r>
      <w:rPr>
        <w:rFonts w:ascii="仿宋" w:hAnsi="仿宋" w:eastAsia="仿宋"/>
        <w:sz w:val="28"/>
        <w:szCs w:val="28"/>
      </w:rPr>
      <w:fldChar w:fldCharType="end"/>
    </w:r>
    <w:r>
      <w:rPr>
        <w:rFonts w:hint="eastAsia" w:ascii="仿宋" w:hAnsi="仿宋" w:eastAsia="仿宋"/>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81049811"/>
    </w:sdtPr>
    <w:sdtEndPr>
      <w:rPr>
        <w:rFonts w:ascii="仿宋" w:hAnsi="仿宋" w:eastAsia="仿宋"/>
        <w:sz w:val="28"/>
        <w:szCs w:val="28"/>
      </w:rPr>
    </w:sdtEndPr>
    <w:sdtContent>
      <w:p>
        <w:pPr>
          <w:pStyle w:val="9"/>
          <w:rPr>
            <w:rFonts w:ascii="仿宋" w:hAnsi="仿宋" w:eastAsia="仿宋"/>
            <w:sz w:val="28"/>
            <w:szCs w:val="28"/>
          </w:rPr>
        </w:pPr>
        <w:r>
          <w:rPr>
            <w:rFonts w:hint="eastAsia" w:ascii="仿宋" w:hAnsi="仿宋" w:eastAsia="仿宋"/>
            <w:sz w:val="28"/>
            <w:szCs w:val="28"/>
          </w:rPr>
          <w:t xml:space="preserve">－ </w:t>
        </w:r>
        <w:r>
          <w:rPr>
            <w:rFonts w:ascii="仿宋" w:hAnsi="仿宋" w:eastAsia="仿宋"/>
            <w:sz w:val="28"/>
            <w:szCs w:val="28"/>
          </w:rPr>
          <w:fldChar w:fldCharType="begin"/>
        </w:r>
        <w:r>
          <w:rPr>
            <w:rFonts w:ascii="仿宋" w:hAnsi="仿宋" w:eastAsia="仿宋"/>
            <w:sz w:val="28"/>
            <w:szCs w:val="28"/>
          </w:rPr>
          <w:instrText xml:space="preserve">PAGE   \* MERGEFORMAT</w:instrText>
        </w:r>
        <w:r>
          <w:rPr>
            <w:rFonts w:ascii="仿宋" w:hAnsi="仿宋" w:eastAsia="仿宋"/>
            <w:sz w:val="28"/>
            <w:szCs w:val="28"/>
          </w:rPr>
          <w:fldChar w:fldCharType="separate"/>
        </w:r>
        <w:r>
          <w:rPr>
            <w:rFonts w:ascii="仿宋" w:hAnsi="仿宋" w:eastAsia="仿宋"/>
            <w:sz w:val="28"/>
            <w:szCs w:val="28"/>
            <w:lang w:val="zh-CN"/>
          </w:rPr>
          <w:t>12</w:t>
        </w:r>
        <w:r>
          <w:rPr>
            <w:rFonts w:ascii="仿宋" w:hAnsi="仿宋" w:eastAsia="仿宋"/>
            <w:sz w:val="28"/>
            <w:szCs w:val="28"/>
          </w:rPr>
          <w:fldChar w:fldCharType="end"/>
        </w:r>
        <w:r>
          <w:rPr>
            <w:rFonts w:hint="eastAsia" w:ascii="仿宋" w:hAnsi="仿宋" w:eastAsia="仿宋"/>
            <w:sz w:val="28"/>
            <w:szCs w:val="28"/>
          </w:rPr>
          <w:t xml:space="preserve"> －</w:t>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63D8D"/>
    <w:rsid w:val="00000DAE"/>
    <w:rsid w:val="00002296"/>
    <w:rsid w:val="000027B8"/>
    <w:rsid w:val="00003457"/>
    <w:rsid w:val="00005336"/>
    <w:rsid w:val="000053D4"/>
    <w:rsid w:val="00005438"/>
    <w:rsid w:val="00006804"/>
    <w:rsid w:val="000109E6"/>
    <w:rsid w:val="00010BB7"/>
    <w:rsid w:val="00011162"/>
    <w:rsid w:val="000149B2"/>
    <w:rsid w:val="00022FFA"/>
    <w:rsid w:val="00023FF0"/>
    <w:rsid w:val="000263B4"/>
    <w:rsid w:val="000266A6"/>
    <w:rsid w:val="00026AFE"/>
    <w:rsid w:val="0002713C"/>
    <w:rsid w:val="000302F4"/>
    <w:rsid w:val="000304DA"/>
    <w:rsid w:val="00032A27"/>
    <w:rsid w:val="00044EEC"/>
    <w:rsid w:val="00046291"/>
    <w:rsid w:val="00046463"/>
    <w:rsid w:val="000472B6"/>
    <w:rsid w:val="00050813"/>
    <w:rsid w:val="000541AF"/>
    <w:rsid w:val="0006070C"/>
    <w:rsid w:val="00073B39"/>
    <w:rsid w:val="00073C73"/>
    <w:rsid w:val="00077515"/>
    <w:rsid w:val="0008270C"/>
    <w:rsid w:val="00084E1E"/>
    <w:rsid w:val="000910C9"/>
    <w:rsid w:val="000926D7"/>
    <w:rsid w:val="00093656"/>
    <w:rsid w:val="00095539"/>
    <w:rsid w:val="00097523"/>
    <w:rsid w:val="0009765B"/>
    <w:rsid w:val="000A2997"/>
    <w:rsid w:val="000A4562"/>
    <w:rsid w:val="000A51C3"/>
    <w:rsid w:val="000A5D68"/>
    <w:rsid w:val="000B0227"/>
    <w:rsid w:val="000B0E58"/>
    <w:rsid w:val="000B11E9"/>
    <w:rsid w:val="000B2638"/>
    <w:rsid w:val="000B39BE"/>
    <w:rsid w:val="000B4565"/>
    <w:rsid w:val="000B5D88"/>
    <w:rsid w:val="000C033E"/>
    <w:rsid w:val="000C04DE"/>
    <w:rsid w:val="000C0984"/>
    <w:rsid w:val="000C14F5"/>
    <w:rsid w:val="000C3690"/>
    <w:rsid w:val="000C3CE0"/>
    <w:rsid w:val="000C66C8"/>
    <w:rsid w:val="000C7BC5"/>
    <w:rsid w:val="000D2336"/>
    <w:rsid w:val="000D5F82"/>
    <w:rsid w:val="000D6814"/>
    <w:rsid w:val="000D68D9"/>
    <w:rsid w:val="000D71DD"/>
    <w:rsid w:val="000E0FA7"/>
    <w:rsid w:val="000E3893"/>
    <w:rsid w:val="000F3BB0"/>
    <w:rsid w:val="000F3E60"/>
    <w:rsid w:val="000F4E11"/>
    <w:rsid w:val="000F5341"/>
    <w:rsid w:val="001030A9"/>
    <w:rsid w:val="0010558E"/>
    <w:rsid w:val="00106A8B"/>
    <w:rsid w:val="00106B2B"/>
    <w:rsid w:val="00116445"/>
    <w:rsid w:val="00116709"/>
    <w:rsid w:val="0011702B"/>
    <w:rsid w:val="00124F7F"/>
    <w:rsid w:val="00125D9C"/>
    <w:rsid w:val="001308E4"/>
    <w:rsid w:val="0013378B"/>
    <w:rsid w:val="0014255E"/>
    <w:rsid w:val="00143F45"/>
    <w:rsid w:val="00147F84"/>
    <w:rsid w:val="001513E5"/>
    <w:rsid w:val="00155C40"/>
    <w:rsid w:val="0015789E"/>
    <w:rsid w:val="001578A9"/>
    <w:rsid w:val="0016290B"/>
    <w:rsid w:val="00163210"/>
    <w:rsid w:val="001634F5"/>
    <w:rsid w:val="00165883"/>
    <w:rsid w:val="00165958"/>
    <w:rsid w:val="00170C7E"/>
    <w:rsid w:val="00171CD4"/>
    <w:rsid w:val="001722F7"/>
    <w:rsid w:val="001761F0"/>
    <w:rsid w:val="00180BE4"/>
    <w:rsid w:val="00182613"/>
    <w:rsid w:val="0018433B"/>
    <w:rsid w:val="001844AE"/>
    <w:rsid w:val="001844BA"/>
    <w:rsid w:val="00184A08"/>
    <w:rsid w:val="001867AA"/>
    <w:rsid w:val="001905A5"/>
    <w:rsid w:val="001923E2"/>
    <w:rsid w:val="0019533E"/>
    <w:rsid w:val="00197A5C"/>
    <w:rsid w:val="001A00CD"/>
    <w:rsid w:val="001A1CF2"/>
    <w:rsid w:val="001A2663"/>
    <w:rsid w:val="001A2D6F"/>
    <w:rsid w:val="001A5563"/>
    <w:rsid w:val="001A77EE"/>
    <w:rsid w:val="001B298F"/>
    <w:rsid w:val="001B4784"/>
    <w:rsid w:val="001B6712"/>
    <w:rsid w:val="001D3CAB"/>
    <w:rsid w:val="001D4E03"/>
    <w:rsid w:val="001D58D7"/>
    <w:rsid w:val="001E03FC"/>
    <w:rsid w:val="001E2FA2"/>
    <w:rsid w:val="001E3462"/>
    <w:rsid w:val="001E5C20"/>
    <w:rsid w:val="001E5E8B"/>
    <w:rsid w:val="001E6969"/>
    <w:rsid w:val="001E6B4D"/>
    <w:rsid w:val="001E6E29"/>
    <w:rsid w:val="001E713D"/>
    <w:rsid w:val="001F1844"/>
    <w:rsid w:val="001F4DF5"/>
    <w:rsid w:val="001F566D"/>
    <w:rsid w:val="00200263"/>
    <w:rsid w:val="00201C2D"/>
    <w:rsid w:val="00203424"/>
    <w:rsid w:val="00204BFB"/>
    <w:rsid w:val="00204D21"/>
    <w:rsid w:val="00205CE4"/>
    <w:rsid w:val="00210071"/>
    <w:rsid w:val="00212FA7"/>
    <w:rsid w:val="00214374"/>
    <w:rsid w:val="002145F9"/>
    <w:rsid w:val="00216C93"/>
    <w:rsid w:val="00217869"/>
    <w:rsid w:val="0021797F"/>
    <w:rsid w:val="00217AA8"/>
    <w:rsid w:val="00217CED"/>
    <w:rsid w:val="00217ED2"/>
    <w:rsid w:val="002229E2"/>
    <w:rsid w:val="0022365E"/>
    <w:rsid w:val="00225027"/>
    <w:rsid w:val="002260C9"/>
    <w:rsid w:val="00226E95"/>
    <w:rsid w:val="00227EAF"/>
    <w:rsid w:val="00227ECD"/>
    <w:rsid w:val="00230A57"/>
    <w:rsid w:val="00230C67"/>
    <w:rsid w:val="00232128"/>
    <w:rsid w:val="0023388E"/>
    <w:rsid w:val="002365F5"/>
    <w:rsid w:val="00237168"/>
    <w:rsid w:val="00240F99"/>
    <w:rsid w:val="002422DC"/>
    <w:rsid w:val="002457E3"/>
    <w:rsid w:val="002465ED"/>
    <w:rsid w:val="002507D0"/>
    <w:rsid w:val="00251346"/>
    <w:rsid w:val="0025174B"/>
    <w:rsid w:val="00251E24"/>
    <w:rsid w:val="002532A4"/>
    <w:rsid w:val="00253EE3"/>
    <w:rsid w:val="00254804"/>
    <w:rsid w:val="00254B91"/>
    <w:rsid w:val="002554E5"/>
    <w:rsid w:val="00255BE2"/>
    <w:rsid w:val="002567E0"/>
    <w:rsid w:val="00256D4E"/>
    <w:rsid w:val="00256EBE"/>
    <w:rsid w:val="002606F4"/>
    <w:rsid w:val="00260C62"/>
    <w:rsid w:val="00261723"/>
    <w:rsid w:val="00262FBD"/>
    <w:rsid w:val="002745FD"/>
    <w:rsid w:val="00274648"/>
    <w:rsid w:val="00276828"/>
    <w:rsid w:val="002773E6"/>
    <w:rsid w:val="00277ACC"/>
    <w:rsid w:val="00282CC8"/>
    <w:rsid w:val="0028358C"/>
    <w:rsid w:val="00283771"/>
    <w:rsid w:val="00283F38"/>
    <w:rsid w:val="00284685"/>
    <w:rsid w:val="00285265"/>
    <w:rsid w:val="002929A6"/>
    <w:rsid w:val="0029356B"/>
    <w:rsid w:val="00296538"/>
    <w:rsid w:val="00297040"/>
    <w:rsid w:val="002A020A"/>
    <w:rsid w:val="002A0B8E"/>
    <w:rsid w:val="002A1DF7"/>
    <w:rsid w:val="002A1EC0"/>
    <w:rsid w:val="002A5B59"/>
    <w:rsid w:val="002A67A4"/>
    <w:rsid w:val="002A6EAA"/>
    <w:rsid w:val="002B0F40"/>
    <w:rsid w:val="002B1B0D"/>
    <w:rsid w:val="002B343C"/>
    <w:rsid w:val="002B3F00"/>
    <w:rsid w:val="002B468E"/>
    <w:rsid w:val="002B69BD"/>
    <w:rsid w:val="002C35A1"/>
    <w:rsid w:val="002C46DD"/>
    <w:rsid w:val="002C46F4"/>
    <w:rsid w:val="002C555C"/>
    <w:rsid w:val="002D1C77"/>
    <w:rsid w:val="002D1D67"/>
    <w:rsid w:val="002D3A0E"/>
    <w:rsid w:val="002D498A"/>
    <w:rsid w:val="002D55A2"/>
    <w:rsid w:val="002E0530"/>
    <w:rsid w:val="002E06C9"/>
    <w:rsid w:val="002E1041"/>
    <w:rsid w:val="002E280F"/>
    <w:rsid w:val="002E6F5B"/>
    <w:rsid w:val="002E7850"/>
    <w:rsid w:val="002F59F0"/>
    <w:rsid w:val="002F720B"/>
    <w:rsid w:val="002F746A"/>
    <w:rsid w:val="00301E02"/>
    <w:rsid w:val="00302C9E"/>
    <w:rsid w:val="00305136"/>
    <w:rsid w:val="003068CD"/>
    <w:rsid w:val="00307B63"/>
    <w:rsid w:val="0031059C"/>
    <w:rsid w:val="00313117"/>
    <w:rsid w:val="00313C52"/>
    <w:rsid w:val="00313E4B"/>
    <w:rsid w:val="0032386F"/>
    <w:rsid w:val="003255BB"/>
    <w:rsid w:val="00326742"/>
    <w:rsid w:val="003270CD"/>
    <w:rsid w:val="003275D5"/>
    <w:rsid w:val="00327ED6"/>
    <w:rsid w:val="003305B8"/>
    <w:rsid w:val="0033130B"/>
    <w:rsid w:val="003321EC"/>
    <w:rsid w:val="0033489A"/>
    <w:rsid w:val="003354C4"/>
    <w:rsid w:val="00336572"/>
    <w:rsid w:val="0033762E"/>
    <w:rsid w:val="003379E8"/>
    <w:rsid w:val="003419E8"/>
    <w:rsid w:val="003425A3"/>
    <w:rsid w:val="0034304B"/>
    <w:rsid w:val="00347579"/>
    <w:rsid w:val="00353796"/>
    <w:rsid w:val="00353E0F"/>
    <w:rsid w:val="00356F82"/>
    <w:rsid w:val="00361CE7"/>
    <w:rsid w:val="003625C6"/>
    <w:rsid w:val="00362AE9"/>
    <w:rsid w:val="00364293"/>
    <w:rsid w:val="0036565B"/>
    <w:rsid w:val="00365B28"/>
    <w:rsid w:val="003673F4"/>
    <w:rsid w:val="0037187F"/>
    <w:rsid w:val="00371BB6"/>
    <w:rsid w:val="00371CAA"/>
    <w:rsid w:val="003741F0"/>
    <w:rsid w:val="00375AF4"/>
    <w:rsid w:val="00375CD4"/>
    <w:rsid w:val="00376A60"/>
    <w:rsid w:val="003773EC"/>
    <w:rsid w:val="00380118"/>
    <w:rsid w:val="003807BD"/>
    <w:rsid w:val="0038336A"/>
    <w:rsid w:val="00384495"/>
    <w:rsid w:val="00386403"/>
    <w:rsid w:val="00387A9D"/>
    <w:rsid w:val="00391E5E"/>
    <w:rsid w:val="00393295"/>
    <w:rsid w:val="003A1F58"/>
    <w:rsid w:val="003A4E87"/>
    <w:rsid w:val="003A7D33"/>
    <w:rsid w:val="003A7EF4"/>
    <w:rsid w:val="003B2603"/>
    <w:rsid w:val="003B5FE1"/>
    <w:rsid w:val="003B714E"/>
    <w:rsid w:val="003B757E"/>
    <w:rsid w:val="003B7E17"/>
    <w:rsid w:val="003C1673"/>
    <w:rsid w:val="003D12B5"/>
    <w:rsid w:val="003D2104"/>
    <w:rsid w:val="003D35C0"/>
    <w:rsid w:val="003D35E4"/>
    <w:rsid w:val="003D3E99"/>
    <w:rsid w:val="003D7D3B"/>
    <w:rsid w:val="003D7FDA"/>
    <w:rsid w:val="003E0106"/>
    <w:rsid w:val="003E0E49"/>
    <w:rsid w:val="003E0E91"/>
    <w:rsid w:val="003E28AB"/>
    <w:rsid w:val="003E2C38"/>
    <w:rsid w:val="003E32F4"/>
    <w:rsid w:val="003E6BE3"/>
    <w:rsid w:val="003F3558"/>
    <w:rsid w:val="003F6354"/>
    <w:rsid w:val="003F6E27"/>
    <w:rsid w:val="0040239B"/>
    <w:rsid w:val="004035AF"/>
    <w:rsid w:val="0040456E"/>
    <w:rsid w:val="00405226"/>
    <w:rsid w:val="00405C75"/>
    <w:rsid w:val="00406734"/>
    <w:rsid w:val="00406D6A"/>
    <w:rsid w:val="00410196"/>
    <w:rsid w:val="0041474C"/>
    <w:rsid w:val="00417393"/>
    <w:rsid w:val="00420BEC"/>
    <w:rsid w:val="0042251D"/>
    <w:rsid w:val="00422725"/>
    <w:rsid w:val="00424811"/>
    <w:rsid w:val="00426463"/>
    <w:rsid w:val="00426FE5"/>
    <w:rsid w:val="004272A6"/>
    <w:rsid w:val="0043119F"/>
    <w:rsid w:val="004327FE"/>
    <w:rsid w:val="00432888"/>
    <w:rsid w:val="00434C22"/>
    <w:rsid w:val="00435794"/>
    <w:rsid w:val="00437980"/>
    <w:rsid w:val="004401ED"/>
    <w:rsid w:val="0044349C"/>
    <w:rsid w:val="00446631"/>
    <w:rsid w:val="00447D95"/>
    <w:rsid w:val="00447EDF"/>
    <w:rsid w:val="0045135A"/>
    <w:rsid w:val="00452585"/>
    <w:rsid w:val="00452EE6"/>
    <w:rsid w:val="00453213"/>
    <w:rsid w:val="00453319"/>
    <w:rsid w:val="004542C8"/>
    <w:rsid w:val="004549D1"/>
    <w:rsid w:val="00455E38"/>
    <w:rsid w:val="00457099"/>
    <w:rsid w:val="00462343"/>
    <w:rsid w:val="00465B8C"/>
    <w:rsid w:val="004673C8"/>
    <w:rsid w:val="00467E2E"/>
    <w:rsid w:val="00470221"/>
    <w:rsid w:val="00473625"/>
    <w:rsid w:val="004743AE"/>
    <w:rsid w:val="0048081D"/>
    <w:rsid w:val="004811D4"/>
    <w:rsid w:val="004815A4"/>
    <w:rsid w:val="004836A5"/>
    <w:rsid w:val="004839EA"/>
    <w:rsid w:val="004856B0"/>
    <w:rsid w:val="00485728"/>
    <w:rsid w:val="00485C58"/>
    <w:rsid w:val="00485FC0"/>
    <w:rsid w:val="00485FDC"/>
    <w:rsid w:val="004860CD"/>
    <w:rsid w:val="0049299D"/>
    <w:rsid w:val="004931F9"/>
    <w:rsid w:val="004949AC"/>
    <w:rsid w:val="00495734"/>
    <w:rsid w:val="004A1923"/>
    <w:rsid w:val="004A36FF"/>
    <w:rsid w:val="004A3DDB"/>
    <w:rsid w:val="004A482D"/>
    <w:rsid w:val="004A497D"/>
    <w:rsid w:val="004A5984"/>
    <w:rsid w:val="004A7055"/>
    <w:rsid w:val="004A711A"/>
    <w:rsid w:val="004B12E6"/>
    <w:rsid w:val="004B17CE"/>
    <w:rsid w:val="004B2F86"/>
    <w:rsid w:val="004B42D5"/>
    <w:rsid w:val="004B7ED2"/>
    <w:rsid w:val="004C2273"/>
    <w:rsid w:val="004C3A77"/>
    <w:rsid w:val="004C51F5"/>
    <w:rsid w:val="004C6BF0"/>
    <w:rsid w:val="004D06B4"/>
    <w:rsid w:val="004D0B49"/>
    <w:rsid w:val="004D0BAD"/>
    <w:rsid w:val="004D31B0"/>
    <w:rsid w:val="004D6025"/>
    <w:rsid w:val="004D678B"/>
    <w:rsid w:val="004E0906"/>
    <w:rsid w:val="004E0CE3"/>
    <w:rsid w:val="004E6EC7"/>
    <w:rsid w:val="004E7D3A"/>
    <w:rsid w:val="004F0F0A"/>
    <w:rsid w:val="004F36B9"/>
    <w:rsid w:val="004F3A3D"/>
    <w:rsid w:val="004F43AA"/>
    <w:rsid w:val="00505C1D"/>
    <w:rsid w:val="00506186"/>
    <w:rsid w:val="00506A6F"/>
    <w:rsid w:val="00506F54"/>
    <w:rsid w:val="0050705D"/>
    <w:rsid w:val="005102A2"/>
    <w:rsid w:val="00510BAB"/>
    <w:rsid w:val="00514369"/>
    <w:rsid w:val="00514671"/>
    <w:rsid w:val="005147F8"/>
    <w:rsid w:val="005166EA"/>
    <w:rsid w:val="00516F26"/>
    <w:rsid w:val="005214EF"/>
    <w:rsid w:val="0052171A"/>
    <w:rsid w:val="00522259"/>
    <w:rsid w:val="00524865"/>
    <w:rsid w:val="00524FE8"/>
    <w:rsid w:val="00526431"/>
    <w:rsid w:val="00530991"/>
    <w:rsid w:val="00531428"/>
    <w:rsid w:val="00531ABE"/>
    <w:rsid w:val="005355E3"/>
    <w:rsid w:val="0053642C"/>
    <w:rsid w:val="00536F5B"/>
    <w:rsid w:val="0053720D"/>
    <w:rsid w:val="00540775"/>
    <w:rsid w:val="005424DF"/>
    <w:rsid w:val="005447A2"/>
    <w:rsid w:val="0055033C"/>
    <w:rsid w:val="00557741"/>
    <w:rsid w:val="00562969"/>
    <w:rsid w:val="00562B7D"/>
    <w:rsid w:val="00562BA8"/>
    <w:rsid w:val="00562BC7"/>
    <w:rsid w:val="0056376A"/>
    <w:rsid w:val="0056396C"/>
    <w:rsid w:val="0056573A"/>
    <w:rsid w:val="005659EE"/>
    <w:rsid w:val="00566921"/>
    <w:rsid w:val="00566AEB"/>
    <w:rsid w:val="00571032"/>
    <w:rsid w:val="00576766"/>
    <w:rsid w:val="00576CB6"/>
    <w:rsid w:val="00577FAD"/>
    <w:rsid w:val="005803A2"/>
    <w:rsid w:val="005834D2"/>
    <w:rsid w:val="00585784"/>
    <w:rsid w:val="00585FD1"/>
    <w:rsid w:val="00586F46"/>
    <w:rsid w:val="00587462"/>
    <w:rsid w:val="00592198"/>
    <w:rsid w:val="0059320E"/>
    <w:rsid w:val="005A03FA"/>
    <w:rsid w:val="005A1AA6"/>
    <w:rsid w:val="005A2808"/>
    <w:rsid w:val="005A2E56"/>
    <w:rsid w:val="005A2E6F"/>
    <w:rsid w:val="005A31D1"/>
    <w:rsid w:val="005A3998"/>
    <w:rsid w:val="005A50E5"/>
    <w:rsid w:val="005B0482"/>
    <w:rsid w:val="005B0E50"/>
    <w:rsid w:val="005B18C3"/>
    <w:rsid w:val="005B35A4"/>
    <w:rsid w:val="005B3D57"/>
    <w:rsid w:val="005B6066"/>
    <w:rsid w:val="005B64ED"/>
    <w:rsid w:val="005C00C9"/>
    <w:rsid w:val="005C036D"/>
    <w:rsid w:val="005C575B"/>
    <w:rsid w:val="005D2C98"/>
    <w:rsid w:val="005D5145"/>
    <w:rsid w:val="005E0F3C"/>
    <w:rsid w:val="005E4DFA"/>
    <w:rsid w:val="005E6178"/>
    <w:rsid w:val="005F1102"/>
    <w:rsid w:val="005F27B2"/>
    <w:rsid w:val="005F3E13"/>
    <w:rsid w:val="005F518D"/>
    <w:rsid w:val="00601598"/>
    <w:rsid w:val="00605475"/>
    <w:rsid w:val="00605DF8"/>
    <w:rsid w:val="006077FC"/>
    <w:rsid w:val="0061171A"/>
    <w:rsid w:val="00612A79"/>
    <w:rsid w:val="00613763"/>
    <w:rsid w:val="00616FD6"/>
    <w:rsid w:val="00617400"/>
    <w:rsid w:val="00620526"/>
    <w:rsid w:val="0062149B"/>
    <w:rsid w:val="006216DB"/>
    <w:rsid w:val="006226D0"/>
    <w:rsid w:val="00622F4C"/>
    <w:rsid w:val="00624AEB"/>
    <w:rsid w:val="006251E6"/>
    <w:rsid w:val="0062580F"/>
    <w:rsid w:val="00625AF5"/>
    <w:rsid w:val="00626A2D"/>
    <w:rsid w:val="00627078"/>
    <w:rsid w:val="006323C6"/>
    <w:rsid w:val="00633153"/>
    <w:rsid w:val="0063426E"/>
    <w:rsid w:val="00636D8A"/>
    <w:rsid w:val="0064177D"/>
    <w:rsid w:val="0064194C"/>
    <w:rsid w:val="0064303B"/>
    <w:rsid w:val="00643CC5"/>
    <w:rsid w:val="00643FA8"/>
    <w:rsid w:val="0064402F"/>
    <w:rsid w:val="00645D22"/>
    <w:rsid w:val="00650A85"/>
    <w:rsid w:val="00652299"/>
    <w:rsid w:val="00652406"/>
    <w:rsid w:val="00654F69"/>
    <w:rsid w:val="0065536D"/>
    <w:rsid w:val="00656020"/>
    <w:rsid w:val="00656A9A"/>
    <w:rsid w:val="00656F7D"/>
    <w:rsid w:val="006571CA"/>
    <w:rsid w:val="00660CD2"/>
    <w:rsid w:val="00660FF2"/>
    <w:rsid w:val="00661F89"/>
    <w:rsid w:val="00666065"/>
    <w:rsid w:val="0066762E"/>
    <w:rsid w:val="00670298"/>
    <w:rsid w:val="006724F3"/>
    <w:rsid w:val="0067585E"/>
    <w:rsid w:val="00675B95"/>
    <w:rsid w:val="00676170"/>
    <w:rsid w:val="00676734"/>
    <w:rsid w:val="00676B43"/>
    <w:rsid w:val="00682BA0"/>
    <w:rsid w:val="006831CC"/>
    <w:rsid w:val="006836B6"/>
    <w:rsid w:val="0068495B"/>
    <w:rsid w:val="006849A2"/>
    <w:rsid w:val="00684C37"/>
    <w:rsid w:val="00685768"/>
    <w:rsid w:val="00687D46"/>
    <w:rsid w:val="0069116B"/>
    <w:rsid w:val="006915F9"/>
    <w:rsid w:val="00693106"/>
    <w:rsid w:val="00693295"/>
    <w:rsid w:val="00693EC4"/>
    <w:rsid w:val="00694D64"/>
    <w:rsid w:val="00694EAF"/>
    <w:rsid w:val="006951A4"/>
    <w:rsid w:val="0069526B"/>
    <w:rsid w:val="006960BB"/>
    <w:rsid w:val="006A170A"/>
    <w:rsid w:val="006A2942"/>
    <w:rsid w:val="006A2A32"/>
    <w:rsid w:val="006A5FFB"/>
    <w:rsid w:val="006A6752"/>
    <w:rsid w:val="006A7186"/>
    <w:rsid w:val="006A7DCB"/>
    <w:rsid w:val="006B2EB5"/>
    <w:rsid w:val="006B4DBC"/>
    <w:rsid w:val="006B5BCF"/>
    <w:rsid w:val="006B5CBB"/>
    <w:rsid w:val="006B6BF1"/>
    <w:rsid w:val="006B7A18"/>
    <w:rsid w:val="006C0244"/>
    <w:rsid w:val="006C0E35"/>
    <w:rsid w:val="006C30C5"/>
    <w:rsid w:val="006C6B18"/>
    <w:rsid w:val="006D012E"/>
    <w:rsid w:val="006D2836"/>
    <w:rsid w:val="006D4D2B"/>
    <w:rsid w:val="006D7F1B"/>
    <w:rsid w:val="006E0786"/>
    <w:rsid w:val="006E36CF"/>
    <w:rsid w:val="006E3A23"/>
    <w:rsid w:val="006E4521"/>
    <w:rsid w:val="006E5F67"/>
    <w:rsid w:val="006E6FE1"/>
    <w:rsid w:val="006E76CA"/>
    <w:rsid w:val="006F00C1"/>
    <w:rsid w:val="006F0205"/>
    <w:rsid w:val="006F2DEA"/>
    <w:rsid w:val="006F358D"/>
    <w:rsid w:val="006F610A"/>
    <w:rsid w:val="006F633C"/>
    <w:rsid w:val="006F652B"/>
    <w:rsid w:val="007006AD"/>
    <w:rsid w:val="007007D9"/>
    <w:rsid w:val="00701516"/>
    <w:rsid w:val="00703419"/>
    <w:rsid w:val="00704906"/>
    <w:rsid w:val="00704B20"/>
    <w:rsid w:val="00707272"/>
    <w:rsid w:val="00711BD6"/>
    <w:rsid w:val="007121A3"/>
    <w:rsid w:val="00713962"/>
    <w:rsid w:val="0072527D"/>
    <w:rsid w:val="00726350"/>
    <w:rsid w:val="0072647A"/>
    <w:rsid w:val="00730D94"/>
    <w:rsid w:val="00733E02"/>
    <w:rsid w:val="0073677A"/>
    <w:rsid w:val="0074232D"/>
    <w:rsid w:val="007431B7"/>
    <w:rsid w:val="007432FC"/>
    <w:rsid w:val="007474D4"/>
    <w:rsid w:val="00747C9C"/>
    <w:rsid w:val="0075085D"/>
    <w:rsid w:val="007522F8"/>
    <w:rsid w:val="00753514"/>
    <w:rsid w:val="00754346"/>
    <w:rsid w:val="00755000"/>
    <w:rsid w:val="00761263"/>
    <w:rsid w:val="00763D8D"/>
    <w:rsid w:val="00763F0B"/>
    <w:rsid w:val="00771DBA"/>
    <w:rsid w:val="00774689"/>
    <w:rsid w:val="00775184"/>
    <w:rsid w:val="007778A1"/>
    <w:rsid w:val="00780CCB"/>
    <w:rsid w:val="00780EAF"/>
    <w:rsid w:val="00780F68"/>
    <w:rsid w:val="007821D2"/>
    <w:rsid w:val="00783B1B"/>
    <w:rsid w:val="007854FB"/>
    <w:rsid w:val="00786B54"/>
    <w:rsid w:val="0079038A"/>
    <w:rsid w:val="00790492"/>
    <w:rsid w:val="00795893"/>
    <w:rsid w:val="00796558"/>
    <w:rsid w:val="007A18D4"/>
    <w:rsid w:val="007A2448"/>
    <w:rsid w:val="007A58C0"/>
    <w:rsid w:val="007A711C"/>
    <w:rsid w:val="007A7277"/>
    <w:rsid w:val="007B02AA"/>
    <w:rsid w:val="007B121E"/>
    <w:rsid w:val="007B195D"/>
    <w:rsid w:val="007B3B31"/>
    <w:rsid w:val="007B3D9C"/>
    <w:rsid w:val="007B72C4"/>
    <w:rsid w:val="007C2CA2"/>
    <w:rsid w:val="007C38FA"/>
    <w:rsid w:val="007C3BD4"/>
    <w:rsid w:val="007C3CB2"/>
    <w:rsid w:val="007C5E19"/>
    <w:rsid w:val="007C6176"/>
    <w:rsid w:val="007C7637"/>
    <w:rsid w:val="007C7E73"/>
    <w:rsid w:val="007D051F"/>
    <w:rsid w:val="007D0BBA"/>
    <w:rsid w:val="007D30C4"/>
    <w:rsid w:val="007D3332"/>
    <w:rsid w:val="007D333C"/>
    <w:rsid w:val="007D386A"/>
    <w:rsid w:val="007D6583"/>
    <w:rsid w:val="007D778F"/>
    <w:rsid w:val="007D77F1"/>
    <w:rsid w:val="007D7A66"/>
    <w:rsid w:val="007E2E8A"/>
    <w:rsid w:val="007E2EC0"/>
    <w:rsid w:val="007E3DED"/>
    <w:rsid w:val="007E4B0E"/>
    <w:rsid w:val="007E4B62"/>
    <w:rsid w:val="007E7D6E"/>
    <w:rsid w:val="007F0449"/>
    <w:rsid w:val="007F0B94"/>
    <w:rsid w:val="007F24DA"/>
    <w:rsid w:val="007F26DD"/>
    <w:rsid w:val="007F2884"/>
    <w:rsid w:val="007F46F5"/>
    <w:rsid w:val="007F5A60"/>
    <w:rsid w:val="00803FFB"/>
    <w:rsid w:val="00804A1B"/>
    <w:rsid w:val="00805BBF"/>
    <w:rsid w:val="00806945"/>
    <w:rsid w:val="00807246"/>
    <w:rsid w:val="00810109"/>
    <w:rsid w:val="0081052A"/>
    <w:rsid w:val="00811D87"/>
    <w:rsid w:val="008123C6"/>
    <w:rsid w:val="00812AFF"/>
    <w:rsid w:val="00813B21"/>
    <w:rsid w:val="00813B7F"/>
    <w:rsid w:val="00814803"/>
    <w:rsid w:val="00814C72"/>
    <w:rsid w:val="008217A3"/>
    <w:rsid w:val="00822CC0"/>
    <w:rsid w:val="008239A7"/>
    <w:rsid w:val="008264D1"/>
    <w:rsid w:val="00827765"/>
    <w:rsid w:val="00830A7C"/>
    <w:rsid w:val="008313C4"/>
    <w:rsid w:val="008333CE"/>
    <w:rsid w:val="00833991"/>
    <w:rsid w:val="00833D79"/>
    <w:rsid w:val="0083462A"/>
    <w:rsid w:val="00834B6A"/>
    <w:rsid w:val="00835793"/>
    <w:rsid w:val="008369B8"/>
    <w:rsid w:val="00837E6A"/>
    <w:rsid w:val="008404E9"/>
    <w:rsid w:val="008418E5"/>
    <w:rsid w:val="008427C6"/>
    <w:rsid w:val="008429AF"/>
    <w:rsid w:val="00843386"/>
    <w:rsid w:val="0084611F"/>
    <w:rsid w:val="008467EE"/>
    <w:rsid w:val="00846B79"/>
    <w:rsid w:val="0085103C"/>
    <w:rsid w:val="00851322"/>
    <w:rsid w:val="00851713"/>
    <w:rsid w:val="00851B24"/>
    <w:rsid w:val="0085219F"/>
    <w:rsid w:val="008522D6"/>
    <w:rsid w:val="00852630"/>
    <w:rsid w:val="00852BA0"/>
    <w:rsid w:val="00852F03"/>
    <w:rsid w:val="00863518"/>
    <w:rsid w:val="00864A56"/>
    <w:rsid w:val="008734A2"/>
    <w:rsid w:val="008735D5"/>
    <w:rsid w:val="00873D83"/>
    <w:rsid w:val="00874954"/>
    <w:rsid w:val="008769A3"/>
    <w:rsid w:val="00877854"/>
    <w:rsid w:val="00880088"/>
    <w:rsid w:val="00880CE9"/>
    <w:rsid w:val="00882E11"/>
    <w:rsid w:val="00884709"/>
    <w:rsid w:val="00884E1A"/>
    <w:rsid w:val="00885EF1"/>
    <w:rsid w:val="00886488"/>
    <w:rsid w:val="00886B08"/>
    <w:rsid w:val="008875E7"/>
    <w:rsid w:val="00890F31"/>
    <w:rsid w:val="008917B8"/>
    <w:rsid w:val="00892260"/>
    <w:rsid w:val="00895E78"/>
    <w:rsid w:val="00896034"/>
    <w:rsid w:val="00897EB8"/>
    <w:rsid w:val="008A096F"/>
    <w:rsid w:val="008A3471"/>
    <w:rsid w:val="008A5EF0"/>
    <w:rsid w:val="008A6413"/>
    <w:rsid w:val="008B431F"/>
    <w:rsid w:val="008B4B6F"/>
    <w:rsid w:val="008C0BB0"/>
    <w:rsid w:val="008C134F"/>
    <w:rsid w:val="008C1413"/>
    <w:rsid w:val="008C33D9"/>
    <w:rsid w:val="008C3699"/>
    <w:rsid w:val="008D007F"/>
    <w:rsid w:val="008D1426"/>
    <w:rsid w:val="008D1BF4"/>
    <w:rsid w:val="008D23ED"/>
    <w:rsid w:val="008D5403"/>
    <w:rsid w:val="008D5ECA"/>
    <w:rsid w:val="008D6057"/>
    <w:rsid w:val="008D7738"/>
    <w:rsid w:val="008D77B7"/>
    <w:rsid w:val="008D7D2E"/>
    <w:rsid w:val="008D7D56"/>
    <w:rsid w:val="008E077D"/>
    <w:rsid w:val="008E1B39"/>
    <w:rsid w:val="008E1BFF"/>
    <w:rsid w:val="008E25D3"/>
    <w:rsid w:val="008E42EE"/>
    <w:rsid w:val="008E4823"/>
    <w:rsid w:val="008E70EF"/>
    <w:rsid w:val="008F094E"/>
    <w:rsid w:val="008F0F5E"/>
    <w:rsid w:val="008F108F"/>
    <w:rsid w:val="00900697"/>
    <w:rsid w:val="00900785"/>
    <w:rsid w:val="00901ABD"/>
    <w:rsid w:val="00901D0E"/>
    <w:rsid w:val="009025F6"/>
    <w:rsid w:val="00902699"/>
    <w:rsid w:val="009034E6"/>
    <w:rsid w:val="00903C2E"/>
    <w:rsid w:val="00906450"/>
    <w:rsid w:val="0090678C"/>
    <w:rsid w:val="009078FF"/>
    <w:rsid w:val="00910F6B"/>
    <w:rsid w:val="0091298D"/>
    <w:rsid w:val="00915956"/>
    <w:rsid w:val="00915AF7"/>
    <w:rsid w:val="00916E43"/>
    <w:rsid w:val="00917DC4"/>
    <w:rsid w:val="00920E07"/>
    <w:rsid w:val="00922B70"/>
    <w:rsid w:val="0092480B"/>
    <w:rsid w:val="00926847"/>
    <w:rsid w:val="00931519"/>
    <w:rsid w:val="00931FE9"/>
    <w:rsid w:val="009326BF"/>
    <w:rsid w:val="009330D1"/>
    <w:rsid w:val="009338F6"/>
    <w:rsid w:val="009344D5"/>
    <w:rsid w:val="00935570"/>
    <w:rsid w:val="00936BB3"/>
    <w:rsid w:val="009409BC"/>
    <w:rsid w:val="00940EA2"/>
    <w:rsid w:val="00942559"/>
    <w:rsid w:val="00942C8E"/>
    <w:rsid w:val="0095043D"/>
    <w:rsid w:val="00950DBB"/>
    <w:rsid w:val="00952A48"/>
    <w:rsid w:val="00955B82"/>
    <w:rsid w:val="00955C9D"/>
    <w:rsid w:val="009607A3"/>
    <w:rsid w:val="00960C88"/>
    <w:rsid w:val="00961BEE"/>
    <w:rsid w:val="00962D5B"/>
    <w:rsid w:val="00963095"/>
    <w:rsid w:val="00964F1C"/>
    <w:rsid w:val="009663AD"/>
    <w:rsid w:val="009666A6"/>
    <w:rsid w:val="00973859"/>
    <w:rsid w:val="00974A1D"/>
    <w:rsid w:val="00974A70"/>
    <w:rsid w:val="0097558B"/>
    <w:rsid w:val="0097560B"/>
    <w:rsid w:val="00983C33"/>
    <w:rsid w:val="00985952"/>
    <w:rsid w:val="009900E6"/>
    <w:rsid w:val="009914DC"/>
    <w:rsid w:val="00991EE9"/>
    <w:rsid w:val="00993E30"/>
    <w:rsid w:val="00996F19"/>
    <w:rsid w:val="009A08DB"/>
    <w:rsid w:val="009A08FB"/>
    <w:rsid w:val="009A2A48"/>
    <w:rsid w:val="009A2E4A"/>
    <w:rsid w:val="009A3DE0"/>
    <w:rsid w:val="009A4FAB"/>
    <w:rsid w:val="009A50D1"/>
    <w:rsid w:val="009A5BD0"/>
    <w:rsid w:val="009A7C33"/>
    <w:rsid w:val="009A7EBD"/>
    <w:rsid w:val="009B2564"/>
    <w:rsid w:val="009B4495"/>
    <w:rsid w:val="009C07AA"/>
    <w:rsid w:val="009C3ECB"/>
    <w:rsid w:val="009C44DB"/>
    <w:rsid w:val="009C6BDC"/>
    <w:rsid w:val="009C6D8D"/>
    <w:rsid w:val="009D0414"/>
    <w:rsid w:val="009D1F8D"/>
    <w:rsid w:val="009D25F6"/>
    <w:rsid w:val="009D3994"/>
    <w:rsid w:val="009E079B"/>
    <w:rsid w:val="009E1CAA"/>
    <w:rsid w:val="009E2747"/>
    <w:rsid w:val="009E3491"/>
    <w:rsid w:val="009E4928"/>
    <w:rsid w:val="009E492F"/>
    <w:rsid w:val="009E662A"/>
    <w:rsid w:val="009E77D6"/>
    <w:rsid w:val="009E7A09"/>
    <w:rsid w:val="009F17BE"/>
    <w:rsid w:val="009F2679"/>
    <w:rsid w:val="009F2E23"/>
    <w:rsid w:val="009F41F3"/>
    <w:rsid w:val="00A000D9"/>
    <w:rsid w:val="00A01485"/>
    <w:rsid w:val="00A02BD3"/>
    <w:rsid w:val="00A02D03"/>
    <w:rsid w:val="00A02F56"/>
    <w:rsid w:val="00A04038"/>
    <w:rsid w:val="00A054F5"/>
    <w:rsid w:val="00A057DC"/>
    <w:rsid w:val="00A07FCB"/>
    <w:rsid w:val="00A10153"/>
    <w:rsid w:val="00A10E16"/>
    <w:rsid w:val="00A11EC9"/>
    <w:rsid w:val="00A121FB"/>
    <w:rsid w:val="00A13E8F"/>
    <w:rsid w:val="00A14394"/>
    <w:rsid w:val="00A24E49"/>
    <w:rsid w:val="00A25F38"/>
    <w:rsid w:val="00A269C4"/>
    <w:rsid w:val="00A26DDB"/>
    <w:rsid w:val="00A27411"/>
    <w:rsid w:val="00A27C51"/>
    <w:rsid w:val="00A32899"/>
    <w:rsid w:val="00A32AB9"/>
    <w:rsid w:val="00A34C99"/>
    <w:rsid w:val="00A36910"/>
    <w:rsid w:val="00A370A6"/>
    <w:rsid w:val="00A375F1"/>
    <w:rsid w:val="00A41B24"/>
    <w:rsid w:val="00A43CF2"/>
    <w:rsid w:val="00A43DC7"/>
    <w:rsid w:val="00A47CCD"/>
    <w:rsid w:val="00A52F41"/>
    <w:rsid w:val="00A57296"/>
    <w:rsid w:val="00A57436"/>
    <w:rsid w:val="00A6039B"/>
    <w:rsid w:val="00A60949"/>
    <w:rsid w:val="00A60E45"/>
    <w:rsid w:val="00A615CB"/>
    <w:rsid w:val="00A61993"/>
    <w:rsid w:val="00A633EA"/>
    <w:rsid w:val="00A6391B"/>
    <w:rsid w:val="00A63A17"/>
    <w:rsid w:val="00A63BA5"/>
    <w:rsid w:val="00A6714F"/>
    <w:rsid w:val="00A7047C"/>
    <w:rsid w:val="00A727B7"/>
    <w:rsid w:val="00A7287F"/>
    <w:rsid w:val="00A73844"/>
    <w:rsid w:val="00A75B8F"/>
    <w:rsid w:val="00A76153"/>
    <w:rsid w:val="00A807C1"/>
    <w:rsid w:val="00A80BDE"/>
    <w:rsid w:val="00A83F2E"/>
    <w:rsid w:val="00A85AB3"/>
    <w:rsid w:val="00A85C4D"/>
    <w:rsid w:val="00A8678E"/>
    <w:rsid w:val="00A92015"/>
    <w:rsid w:val="00A92139"/>
    <w:rsid w:val="00A9507F"/>
    <w:rsid w:val="00A96000"/>
    <w:rsid w:val="00A972C3"/>
    <w:rsid w:val="00AA1695"/>
    <w:rsid w:val="00AA2D96"/>
    <w:rsid w:val="00AA3AF7"/>
    <w:rsid w:val="00AB0E84"/>
    <w:rsid w:val="00AB0EEC"/>
    <w:rsid w:val="00AB2453"/>
    <w:rsid w:val="00AB312A"/>
    <w:rsid w:val="00AB3EF7"/>
    <w:rsid w:val="00AB4F48"/>
    <w:rsid w:val="00AB56B6"/>
    <w:rsid w:val="00AB5B2F"/>
    <w:rsid w:val="00AB62AB"/>
    <w:rsid w:val="00AC318C"/>
    <w:rsid w:val="00AC3F10"/>
    <w:rsid w:val="00AC48F0"/>
    <w:rsid w:val="00AC66C5"/>
    <w:rsid w:val="00AC6E1E"/>
    <w:rsid w:val="00AD0B7A"/>
    <w:rsid w:val="00AD0B8C"/>
    <w:rsid w:val="00AD0FEE"/>
    <w:rsid w:val="00AD104B"/>
    <w:rsid w:val="00AD1741"/>
    <w:rsid w:val="00AD41C7"/>
    <w:rsid w:val="00AD4B1D"/>
    <w:rsid w:val="00AD4B9B"/>
    <w:rsid w:val="00AD619D"/>
    <w:rsid w:val="00AD6AB3"/>
    <w:rsid w:val="00AD712B"/>
    <w:rsid w:val="00AE09D2"/>
    <w:rsid w:val="00AE1D02"/>
    <w:rsid w:val="00AE4EBF"/>
    <w:rsid w:val="00AE5006"/>
    <w:rsid w:val="00AF262D"/>
    <w:rsid w:val="00AF3B11"/>
    <w:rsid w:val="00AF4FF9"/>
    <w:rsid w:val="00AF51EB"/>
    <w:rsid w:val="00AF6DE1"/>
    <w:rsid w:val="00AF7B6F"/>
    <w:rsid w:val="00B00CC2"/>
    <w:rsid w:val="00B00E1A"/>
    <w:rsid w:val="00B04CC9"/>
    <w:rsid w:val="00B0556F"/>
    <w:rsid w:val="00B05F99"/>
    <w:rsid w:val="00B06A9C"/>
    <w:rsid w:val="00B06FA4"/>
    <w:rsid w:val="00B07B88"/>
    <w:rsid w:val="00B1060E"/>
    <w:rsid w:val="00B14E29"/>
    <w:rsid w:val="00B202D8"/>
    <w:rsid w:val="00B216EE"/>
    <w:rsid w:val="00B2516C"/>
    <w:rsid w:val="00B25957"/>
    <w:rsid w:val="00B26555"/>
    <w:rsid w:val="00B300AD"/>
    <w:rsid w:val="00B32D7C"/>
    <w:rsid w:val="00B3543E"/>
    <w:rsid w:val="00B35B22"/>
    <w:rsid w:val="00B3703F"/>
    <w:rsid w:val="00B428C0"/>
    <w:rsid w:val="00B45B74"/>
    <w:rsid w:val="00B513B2"/>
    <w:rsid w:val="00B51C9F"/>
    <w:rsid w:val="00B53412"/>
    <w:rsid w:val="00B54DC6"/>
    <w:rsid w:val="00B55B57"/>
    <w:rsid w:val="00B57693"/>
    <w:rsid w:val="00B6056B"/>
    <w:rsid w:val="00B6073A"/>
    <w:rsid w:val="00B613C5"/>
    <w:rsid w:val="00B61B4E"/>
    <w:rsid w:val="00B63493"/>
    <w:rsid w:val="00B70A2A"/>
    <w:rsid w:val="00B70DE9"/>
    <w:rsid w:val="00B72D69"/>
    <w:rsid w:val="00B73620"/>
    <w:rsid w:val="00B73E3D"/>
    <w:rsid w:val="00B75E49"/>
    <w:rsid w:val="00B77778"/>
    <w:rsid w:val="00B80A93"/>
    <w:rsid w:val="00B81091"/>
    <w:rsid w:val="00B820E2"/>
    <w:rsid w:val="00B83CC1"/>
    <w:rsid w:val="00B8434D"/>
    <w:rsid w:val="00B86033"/>
    <w:rsid w:val="00B86209"/>
    <w:rsid w:val="00B873B5"/>
    <w:rsid w:val="00B93260"/>
    <w:rsid w:val="00B93AC2"/>
    <w:rsid w:val="00BA1F74"/>
    <w:rsid w:val="00BA40D9"/>
    <w:rsid w:val="00BB42AD"/>
    <w:rsid w:val="00BB6206"/>
    <w:rsid w:val="00BB6E2F"/>
    <w:rsid w:val="00BB7906"/>
    <w:rsid w:val="00BC28FC"/>
    <w:rsid w:val="00BC3021"/>
    <w:rsid w:val="00BC40A2"/>
    <w:rsid w:val="00BC4C69"/>
    <w:rsid w:val="00BC66F9"/>
    <w:rsid w:val="00BC6C03"/>
    <w:rsid w:val="00BC6F02"/>
    <w:rsid w:val="00BD1C74"/>
    <w:rsid w:val="00BD2E7F"/>
    <w:rsid w:val="00BD7163"/>
    <w:rsid w:val="00BE0BD4"/>
    <w:rsid w:val="00BE318C"/>
    <w:rsid w:val="00BE36D4"/>
    <w:rsid w:val="00BE7EE0"/>
    <w:rsid w:val="00BF3C91"/>
    <w:rsid w:val="00BF43FA"/>
    <w:rsid w:val="00BF4C33"/>
    <w:rsid w:val="00BF652B"/>
    <w:rsid w:val="00C03DD6"/>
    <w:rsid w:val="00C0438E"/>
    <w:rsid w:val="00C05FB0"/>
    <w:rsid w:val="00C06CB9"/>
    <w:rsid w:val="00C078B9"/>
    <w:rsid w:val="00C10E29"/>
    <w:rsid w:val="00C11F55"/>
    <w:rsid w:val="00C14006"/>
    <w:rsid w:val="00C14194"/>
    <w:rsid w:val="00C15C47"/>
    <w:rsid w:val="00C16B83"/>
    <w:rsid w:val="00C21C6A"/>
    <w:rsid w:val="00C24EF2"/>
    <w:rsid w:val="00C258D4"/>
    <w:rsid w:val="00C25D38"/>
    <w:rsid w:val="00C31518"/>
    <w:rsid w:val="00C320FD"/>
    <w:rsid w:val="00C322A8"/>
    <w:rsid w:val="00C342E1"/>
    <w:rsid w:val="00C374BB"/>
    <w:rsid w:val="00C40B0E"/>
    <w:rsid w:val="00C40CCE"/>
    <w:rsid w:val="00C41346"/>
    <w:rsid w:val="00C4393C"/>
    <w:rsid w:val="00C44FA0"/>
    <w:rsid w:val="00C459C4"/>
    <w:rsid w:val="00C45B16"/>
    <w:rsid w:val="00C466DC"/>
    <w:rsid w:val="00C468DC"/>
    <w:rsid w:val="00C47B12"/>
    <w:rsid w:val="00C5204B"/>
    <w:rsid w:val="00C5415C"/>
    <w:rsid w:val="00C541D9"/>
    <w:rsid w:val="00C55634"/>
    <w:rsid w:val="00C55C18"/>
    <w:rsid w:val="00C566DE"/>
    <w:rsid w:val="00C57011"/>
    <w:rsid w:val="00C61343"/>
    <w:rsid w:val="00C62615"/>
    <w:rsid w:val="00C63289"/>
    <w:rsid w:val="00C63632"/>
    <w:rsid w:val="00C636DE"/>
    <w:rsid w:val="00C63F3D"/>
    <w:rsid w:val="00C64411"/>
    <w:rsid w:val="00C64F34"/>
    <w:rsid w:val="00C65119"/>
    <w:rsid w:val="00C67DF7"/>
    <w:rsid w:val="00C706D6"/>
    <w:rsid w:val="00C71AC0"/>
    <w:rsid w:val="00C74919"/>
    <w:rsid w:val="00C75761"/>
    <w:rsid w:val="00C7605A"/>
    <w:rsid w:val="00C82704"/>
    <w:rsid w:val="00C83781"/>
    <w:rsid w:val="00C83A49"/>
    <w:rsid w:val="00C846E1"/>
    <w:rsid w:val="00C859AE"/>
    <w:rsid w:val="00C863CC"/>
    <w:rsid w:val="00C90211"/>
    <w:rsid w:val="00C90783"/>
    <w:rsid w:val="00C935E1"/>
    <w:rsid w:val="00C96C28"/>
    <w:rsid w:val="00C97B62"/>
    <w:rsid w:val="00CA3F8D"/>
    <w:rsid w:val="00CA4623"/>
    <w:rsid w:val="00CA4FF4"/>
    <w:rsid w:val="00CA56E6"/>
    <w:rsid w:val="00CA67AF"/>
    <w:rsid w:val="00CA7A37"/>
    <w:rsid w:val="00CA7A9C"/>
    <w:rsid w:val="00CA7C94"/>
    <w:rsid w:val="00CB007D"/>
    <w:rsid w:val="00CB0544"/>
    <w:rsid w:val="00CB0A03"/>
    <w:rsid w:val="00CB17A0"/>
    <w:rsid w:val="00CB1BFD"/>
    <w:rsid w:val="00CB1C4C"/>
    <w:rsid w:val="00CB2E99"/>
    <w:rsid w:val="00CB3151"/>
    <w:rsid w:val="00CC1C5F"/>
    <w:rsid w:val="00CC1F80"/>
    <w:rsid w:val="00CC2185"/>
    <w:rsid w:val="00CC28DD"/>
    <w:rsid w:val="00CC5253"/>
    <w:rsid w:val="00CC68AF"/>
    <w:rsid w:val="00CC6ECB"/>
    <w:rsid w:val="00CD329B"/>
    <w:rsid w:val="00CD4B61"/>
    <w:rsid w:val="00CD5184"/>
    <w:rsid w:val="00CE0020"/>
    <w:rsid w:val="00CE0C9B"/>
    <w:rsid w:val="00CE0DBB"/>
    <w:rsid w:val="00CE0DE1"/>
    <w:rsid w:val="00CF290E"/>
    <w:rsid w:val="00D00A37"/>
    <w:rsid w:val="00D02747"/>
    <w:rsid w:val="00D02886"/>
    <w:rsid w:val="00D029A4"/>
    <w:rsid w:val="00D057CF"/>
    <w:rsid w:val="00D058B0"/>
    <w:rsid w:val="00D05BF8"/>
    <w:rsid w:val="00D07F4A"/>
    <w:rsid w:val="00D107B7"/>
    <w:rsid w:val="00D10F63"/>
    <w:rsid w:val="00D11030"/>
    <w:rsid w:val="00D1120B"/>
    <w:rsid w:val="00D11B8A"/>
    <w:rsid w:val="00D14EF4"/>
    <w:rsid w:val="00D158AE"/>
    <w:rsid w:val="00D15F54"/>
    <w:rsid w:val="00D175D4"/>
    <w:rsid w:val="00D21DA5"/>
    <w:rsid w:val="00D22B26"/>
    <w:rsid w:val="00D2497C"/>
    <w:rsid w:val="00D25264"/>
    <w:rsid w:val="00D27175"/>
    <w:rsid w:val="00D27FB0"/>
    <w:rsid w:val="00D304CE"/>
    <w:rsid w:val="00D3363F"/>
    <w:rsid w:val="00D33D96"/>
    <w:rsid w:val="00D35671"/>
    <w:rsid w:val="00D364E5"/>
    <w:rsid w:val="00D37658"/>
    <w:rsid w:val="00D4018B"/>
    <w:rsid w:val="00D41259"/>
    <w:rsid w:val="00D41C64"/>
    <w:rsid w:val="00D42666"/>
    <w:rsid w:val="00D45F2C"/>
    <w:rsid w:val="00D47F53"/>
    <w:rsid w:val="00D504CA"/>
    <w:rsid w:val="00D5212F"/>
    <w:rsid w:val="00D52C61"/>
    <w:rsid w:val="00D53012"/>
    <w:rsid w:val="00D5503A"/>
    <w:rsid w:val="00D56EC4"/>
    <w:rsid w:val="00D6208B"/>
    <w:rsid w:val="00D65534"/>
    <w:rsid w:val="00D65736"/>
    <w:rsid w:val="00D70000"/>
    <w:rsid w:val="00D707D7"/>
    <w:rsid w:val="00D723E3"/>
    <w:rsid w:val="00D72D88"/>
    <w:rsid w:val="00D74813"/>
    <w:rsid w:val="00D76FB8"/>
    <w:rsid w:val="00D8046A"/>
    <w:rsid w:val="00D82B95"/>
    <w:rsid w:val="00D86780"/>
    <w:rsid w:val="00D878B0"/>
    <w:rsid w:val="00D87985"/>
    <w:rsid w:val="00D9027A"/>
    <w:rsid w:val="00D94A3E"/>
    <w:rsid w:val="00D96D7A"/>
    <w:rsid w:val="00DA15E3"/>
    <w:rsid w:val="00DA1F48"/>
    <w:rsid w:val="00DA64B1"/>
    <w:rsid w:val="00DA73C2"/>
    <w:rsid w:val="00DB4533"/>
    <w:rsid w:val="00DB4813"/>
    <w:rsid w:val="00DB6228"/>
    <w:rsid w:val="00DB702D"/>
    <w:rsid w:val="00DB710D"/>
    <w:rsid w:val="00DB770C"/>
    <w:rsid w:val="00DB7C25"/>
    <w:rsid w:val="00DC26F5"/>
    <w:rsid w:val="00DC5F49"/>
    <w:rsid w:val="00DD08FA"/>
    <w:rsid w:val="00DD3FAD"/>
    <w:rsid w:val="00DD7592"/>
    <w:rsid w:val="00DE078C"/>
    <w:rsid w:val="00DE0B9F"/>
    <w:rsid w:val="00DE3D32"/>
    <w:rsid w:val="00DE3E73"/>
    <w:rsid w:val="00DE4904"/>
    <w:rsid w:val="00DE73CA"/>
    <w:rsid w:val="00DF5048"/>
    <w:rsid w:val="00DF7612"/>
    <w:rsid w:val="00E035A3"/>
    <w:rsid w:val="00E06324"/>
    <w:rsid w:val="00E109B2"/>
    <w:rsid w:val="00E11C47"/>
    <w:rsid w:val="00E12B1F"/>
    <w:rsid w:val="00E1400B"/>
    <w:rsid w:val="00E16342"/>
    <w:rsid w:val="00E17B51"/>
    <w:rsid w:val="00E2249A"/>
    <w:rsid w:val="00E224C0"/>
    <w:rsid w:val="00E24B62"/>
    <w:rsid w:val="00E25DEC"/>
    <w:rsid w:val="00E2627C"/>
    <w:rsid w:val="00E30C20"/>
    <w:rsid w:val="00E30E91"/>
    <w:rsid w:val="00E31F16"/>
    <w:rsid w:val="00E33420"/>
    <w:rsid w:val="00E33D2F"/>
    <w:rsid w:val="00E363D3"/>
    <w:rsid w:val="00E407D0"/>
    <w:rsid w:val="00E412F6"/>
    <w:rsid w:val="00E41E7A"/>
    <w:rsid w:val="00E432A8"/>
    <w:rsid w:val="00E46060"/>
    <w:rsid w:val="00E503CA"/>
    <w:rsid w:val="00E50673"/>
    <w:rsid w:val="00E51A02"/>
    <w:rsid w:val="00E51A24"/>
    <w:rsid w:val="00E51D21"/>
    <w:rsid w:val="00E550E4"/>
    <w:rsid w:val="00E57876"/>
    <w:rsid w:val="00E60618"/>
    <w:rsid w:val="00E623EF"/>
    <w:rsid w:val="00E66C39"/>
    <w:rsid w:val="00E67AC7"/>
    <w:rsid w:val="00E70023"/>
    <w:rsid w:val="00E70ACE"/>
    <w:rsid w:val="00E70CC7"/>
    <w:rsid w:val="00E70D9E"/>
    <w:rsid w:val="00E727B4"/>
    <w:rsid w:val="00E72889"/>
    <w:rsid w:val="00E72A1C"/>
    <w:rsid w:val="00E73CA7"/>
    <w:rsid w:val="00E74169"/>
    <w:rsid w:val="00E773A0"/>
    <w:rsid w:val="00E773BE"/>
    <w:rsid w:val="00E77F0E"/>
    <w:rsid w:val="00E80D8B"/>
    <w:rsid w:val="00E8343D"/>
    <w:rsid w:val="00E839DE"/>
    <w:rsid w:val="00E85235"/>
    <w:rsid w:val="00E852C7"/>
    <w:rsid w:val="00E872AB"/>
    <w:rsid w:val="00E9493D"/>
    <w:rsid w:val="00E95FA3"/>
    <w:rsid w:val="00EA1189"/>
    <w:rsid w:val="00EA1445"/>
    <w:rsid w:val="00EA1A05"/>
    <w:rsid w:val="00EA3693"/>
    <w:rsid w:val="00EA3E92"/>
    <w:rsid w:val="00EA67BA"/>
    <w:rsid w:val="00EA69C3"/>
    <w:rsid w:val="00EB2203"/>
    <w:rsid w:val="00EB2B6B"/>
    <w:rsid w:val="00EB39BD"/>
    <w:rsid w:val="00EB3FD4"/>
    <w:rsid w:val="00EB4A64"/>
    <w:rsid w:val="00EB4D9A"/>
    <w:rsid w:val="00EB5501"/>
    <w:rsid w:val="00EB75FE"/>
    <w:rsid w:val="00EC031D"/>
    <w:rsid w:val="00EC2985"/>
    <w:rsid w:val="00EC366B"/>
    <w:rsid w:val="00EC3E7C"/>
    <w:rsid w:val="00EC4218"/>
    <w:rsid w:val="00EC5BA4"/>
    <w:rsid w:val="00ED063F"/>
    <w:rsid w:val="00ED2239"/>
    <w:rsid w:val="00ED32E8"/>
    <w:rsid w:val="00ED6B5C"/>
    <w:rsid w:val="00ED711D"/>
    <w:rsid w:val="00ED7CDD"/>
    <w:rsid w:val="00ED7FF2"/>
    <w:rsid w:val="00EE1776"/>
    <w:rsid w:val="00EE218C"/>
    <w:rsid w:val="00EE4520"/>
    <w:rsid w:val="00EE67E1"/>
    <w:rsid w:val="00EE7439"/>
    <w:rsid w:val="00EE7F07"/>
    <w:rsid w:val="00EF06F6"/>
    <w:rsid w:val="00EF0C8F"/>
    <w:rsid w:val="00EF18F6"/>
    <w:rsid w:val="00EF1DC8"/>
    <w:rsid w:val="00EF4B4A"/>
    <w:rsid w:val="00EF4E15"/>
    <w:rsid w:val="00EF612A"/>
    <w:rsid w:val="00F00DC9"/>
    <w:rsid w:val="00F01896"/>
    <w:rsid w:val="00F02920"/>
    <w:rsid w:val="00F04B87"/>
    <w:rsid w:val="00F056E6"/>
    <w:rsid w:val="00F06331"/>
    <w:rsid w:val="00F0785E"/>
    <w:rsid w:val="00F078B5"/>
    <w:rsid w:val="00F079A5"/>
    <w:rsid w:val="00F112F4"/>
    <w:rsid w:val="00F12E05"/>
    <w:rsid w:val="00F133BD"/>
    <w:rsid w:val="00F15CE1"/>
    <w:rsid w:val="00F1642E"/>
    <w:rsid w:val="00F1677C"/>
    <w:rsid w:val="00F16D9E"/>
    <w:rsid w:val="00F24F9C"/>
    <w:rsid w:val="00F27C89"/>
    <w:rsid w:val="00F31B8B"/>
    <w:rsid w:val="00F33DCC"/>
    <w:rsid w:val="00F34776"/>
    <w:rsid w:val="00F3751F"/>
    <w:rsid w:val="00F37B86"/>
    <w:rsid w:val="00F40A32"/>
    <w:rsid w:val="00F4465A"/>
    <w:rsid w:val="00F50FEA"/>
    <w:rsid w:val="00F522F3"/>
    <w:rsid w:val="00F54535"/>
    <w:rsid w:val="00F55B59"/>
    <w:rsid w:val="00F56C74"/>
    <w:rsid w:val="00F57207"/>
    <w:rsid w:val="00F5747F"/>
    <w:rsid w:val="00F57FDB"/>
    <w:rsid w:val="00F63A66"/>
    <w:rsid w:val="00F6433B"/>
    <w:rsid w:val="00F644D9"/>
    <w:rsid w:val="00F6535F"/>
    <w:rsid w:val="00F65629"/>
    <w:rsid w:val="00F656A9"/>
    <w:rsid w:val="00F65769"/>
    <w:rsid w:val="00F6647E"/>
    <w:rsid w:val="00F66DF8"/>
    <w:rsid w:val="00F67ECF"/>
    <w:rsid w:val="00F70120"/>
    <w:rsid w:val="00F71C8D"/>
    <w:rsid w:val="00F72138"/>
    <w:rsid w:val="00F72C2F"/>
    <w:rsid w:val="00F73E58"/>
    <w:rsid w:val="00F74377"/>
    <w:rsid w:val="00F74AD3"/>
    <w:rsid w:val="00F75548"/>
    <w:rsid w:val="00F81A60"/>
    <w:rsid w:val="00F82319"/>
    <w:rsid w:val="00F8331F"/>
    <w:rsid w:val="00F86C2F"/>
    <w:rsid w:val="00F911A7"/>
    <w:rsid w:val="00F96741"/>
    <w:rsid w:val="00F97AEC"/>
    <w:rsid w:val="00FA215F"/>
    <w:rsid w:val="00FA46BD"/>
    <w:rsid w:val="00FA5020"/>
    <w:rsid w:val="00FA5A6C"/>
    <w:rsid w:val="00FA6EC8"/>
    <w:rsid w:val="00FB0A41"/>
    <w:rsid w:val="00FB1D67"/>
    <w:rsid w:val="00FB2C46"/>
    <w:rsid w:val="00FB5172"/>
    <w:rsid w:val="00FB5247"/>
    <w:rsid w:val="00FB615B"/>
    <w:rsid w:val="00FB698D"/>
    <w:rsid w:val="00FC03E6"/>
    <w:rsid w:val="00FC076E"/>
    <w:rsid w:val="00FC2B68"/>
    <w:rsid w:val="00FC3563"/>
    <w:rsid w:val="00FC4BA3"/>
    <w:rsid w:val="00FC5E88"/>
    <w:rsid w:val="00FC5FE5"/>
    <w:rsid w:val="00FC7DD3"/>
    <w:rsid w:val="00FD1537"/>
    <w:rsid w:val="00FD3E5C"/>
    <w:rsid w:val="00FD5EDE"/>
    <w:rsid w:val="00FE0AA9"/>
    <w:rsid w:val="00FE0ABD"/>
    <w:rsid w:val="00FE0C31"/>
    <w:rsid w:val="00FE2ED8"/>
    <w:rsid w:val="00FE3215"/>
    <w:rsid w:val="00FE3AFA"/>
    <w:rsid w:val="00FE47C8"/>
    <w:rsid w:val="00FE612E"/>
    <w:rsid w:val="00FE6D8D"/>
    <w:rsid w:val="00FE7754"/>
    <w:rsid w:val="00FE78EE"/>
    <w:rsid w:val="00FF0733"/>
    <w:rsid w:val="00FF2179"/>
    <w:rsid w:val="00FF2FA8"/>
    <w:rsid w:val="00FF362B"/>
    <w:rsid w:val="00FF575F"/>
    <w:rsid w:val="00FF5E28"/>
    <w:rsid w:val="00FF6E98"/>
    <w:rsid w:val="04804F8D"/>
    <w:rsid w:val="048156CD"/>
    <w:rsid w:val="09876AB7"/>
    <w:rsid w:val="12F820DB"/>
    <w:rsid w:val="1F785057"/>
    <w:rsid w:val="264E0188"/>
    <w:rsid w:val="46805985"/>
    <w:rsid w:val="46E607A2"/>
    <w:rsid w:val="48E37C17"/>
    <w:rsid w:val="4E602DBD"/>
    <w:rsid w:val="53F31705"/>
    <w:rsid w:val="55B8208A"/>
    <w:rsid w:val="5BE947D0"/>
    <w:rsid w:val="5E860245"/>
    <w:rsid w:val="644C5962"/>
    <w:rsid w:val="7AC04A20"/>
    <w:rsid w:val="7E345874"/>
    <w:rsid w:val="7E3F3D1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9" w:semiHidden="0" w:name="heading 2"/>
    <w:lsdException w:qFormat="1" w:unhideWhenUsed="0"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59"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2"/>
    <w:qFormat/>
    <w:uiPriority w:val="99"/>
    <w:pPr>
      <w:keepNext/>
      <w:keepLines/>
      <w:spacing w:before="260" w:after="260" w:line="416" w:lineRule="auto"/>
      <w:outlineLvl w:val="1"/>
    </w:pPr>
    <w:rPr>
      <w:rFonts w:ascii="Cambria" w:hAnsi="Cambria"/>
      <w:b/>
      <w:bCs/>
      <w:kern w:val="0"/>
      <w:sz w:val="32"/>
      <w:szCs w:val="32"/>
    </w:rPr>
  </w:style>
  <w:style w:type="paragraph" w:styleId="4">
    <w:name w:val="heading 3"/>
    <w:basedOn w:val="1"/>
    <w:next w:val="1"/>
    <w:link w:val="23"/>
    <w:qFormat/>
    <w:uiPriority w:val="99"/>
    <w:pPr>
      <w:keepNext/>
      <w:keepLines/>
      <w:spacing w:before="260" w:after="260" w:line="416" w:lineRule="auto"/>
      <w:outlineLvl w:val="2"/>
    </w:pPr>
    <w:rPr>
      <w:b/>
      <w:bCs/>
      <w:kern w:val="0"/>
      <w:sz w:val="32"/>
      <w:szCs w:val="32"/>
    </w:rPr>
  </w:style>
  <w:style w:type="character" w:default="1" w:styleId="15">
    <w:name w:val="Default Paragraph Font"/>
    <w:semiHidden/>
    <w:unhideWhenUsed/>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5">
    <w:name w:val="Document Map"/>
    <w:basedOn w:val="1"/>
    <w:link w:val="27"/>
    <w:unhideWhenUsed/>
    <w:qFormat/>
    <w:uiPriority w:val="99"/>
    <w:rPr>
      <w:rFonts w:ascii="宋体"/>
      <w:sz w:val="18"/>
      <w:szCs w:val="18"/>
    </w:rPr>
  </w:style>
  <w:style w:type="paragraph" w:styleId="6">
    <w:name w:val="annotation text"/>
    <w:basedOn w:val="1"/>
    <w:link w:val="25"/>
    <w:unhideWhenUsed/>
    <w:qFormat/>
    <w:uiPriority w:val="99"/>
    <w:pPr>
      <w:jc w:val="left"/>
    </w:pPr>
  </w:style>
  <w:style w:type="paragraph" w:styleId="7">
    <w:name w:val="toc 3"/>
    <w:basedOn w:val="1"/>
    <w:next w:val="1"/>
    <w:unhideWhenUsed/>
    <w:qFormat/>
    <w:uiPriority w:val="39"/>
    <w:pPr>
      <w:widowControl/>
      <w:spacing w:after="100" w:line="259" w:lineRule="auto"/>
      <w:ind w:left="440"/>
      <w:jc w:val="left"/>
    </w:pPr>
    <w:rPr>
      <w:rFonts w:asciiTheme="minorHAnsi" w:hAnsiTheme="minorHAnsi" w:eastAsiaTheme="minorEastAsia"/>
      <w:kern w:val="0"/>
      <w:sz w:val="22"/>
      <w:szCs w:val="22"/>
    </w:rPr>
  </w:style>
  <w:style w:type="paragraph" w:styleId="8">
    <w:name w:val="Balloon Text"/>
    <w:basedOn w:val="1"/>
    <w:link w:val="24"/>
    <w:unhideWhenUsed/>
    <w:qFormat/>
    <w:uiPriority w:val="99"/>
    <w:rPr>
      <w:sz w:val="18"/>
      <w:szCs w:val="18"/>
    </w:rPr>
  </w:style>
  <w:style w:type="paragraph" w:styleId="9">
    <w:name w:val="footer"/>
    <w:basedOn w:val="1"/>
    <w:link w:val="2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0">
    <w:name w:val="header"/>
    <w:basedOn w:val="1"/>
    <w:link w:val="2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1">
    <w:name w:val="toc 1"/>
    <w:basedOn w:val="1"/>
    <w:next w:val="1"/>
    <w:unhideWhenUsed/>
    <w:qFormat/>
    <w:uiPriority w:val="39"/>
    <w:pPr>
      <w:widowControl/>
      <w:tabs>
        <w:tab w:val="right" w:leader="dot" w:pos="8931"/>
      </w:tabs>
      <w:spacing w:line="380" w:lineRule="exact"/>
      <w:ind w:right="25" w:rightChars="12"/>
      <w:jc w:val="left"/>
    </w:pPr>
    <w:rPr>
      <w:rFonts w:asciiTheme="minorHAnsi" w:hAnsiTheme="minorHAnsi" w:eastAsiaTheme="minorEastAsia"/>
      <w:kern w:val="0"/>
      <w:sz w:val="22"/>
      <w:szCs w:val="22"/>
    </w:rPr>
  </w:style>
  <w:style w:type="paragraph" w:styleId="12">
    <w:name w:val="toc 2"/>
    <w:basedOn w:val="1"/>
    <w:next w:val="1"/>
    <w:unhideWhenUsed/>
    <w:qFormat/>
    <w:uiPriority w:val="39"/>
    <w:pPr>
      <w:widowControl/>
      <w:tabs>
        <w:tab w:val="right" w:leader="dot" w:pos="8931"/>
      </w:tabs>
      <w:spacing w:line="420" w:lineRule="exact"/>
      <w:jc w:val="left"/>
    </w:pPr>
    <w:rPr>
      <w:rFonts w:ascii="仿宋_GB2312" w:eastAsia="仿宋_GB2312" w:hAnsiTheme="minorHAnsi"/>
      <w:b/>
      <w:bCs/>
      <w:kern w:val="0"/>
      <w:sz w:val="24"/>
      <w:szCs w:val="24"/>
      <w:lang w:val="zh-CN"/>
    </w:rPr>
  </w:style>
  <w:style w:type="paragraph" w:styleId="13">
    <w:name w:val="annotation subject"/>
    <w:basedOn w:val="6"/>
    <w:next w:val="6"/>
    <w:link w:val="26"/>
    <w:unhideWhenUsed/>
    <w:qFormat/>
    <w:uiPriority w:val="99"/>
    <w:rPr>
      <w:b/>
      <w:bCs/>
    </w:rPr>
  </w:style>
  <w:style w:type="character" w:styleId="16">
    <w:name w:val="page number"/>
    <w:basedOn w:val="15"/>
    <w:qFormat/>
    <w:uiPriority w:val="0"/>
  </w:style>
  <w:style w:type="character" w:styleId="17">
    <w:name w:val="FollowedHyperlink"/>
    <w:basedOn w:val="15"/>
    <w:semiHidden/>
    <w:unhideWhenUsed/>
    <w:qFormat/>
    <w:uiPriority w:val="99"/>
    <w:rPr>
      <w:color w:val="800080" w:themeColor="followedHyperlink"/>
      <w:u w:val="single"/>
    </w:rPr>
  </w:style>
  <w:style w:type="character" w:styleId="18">
    <w:name w:val="Hyperlink"/>
    <w:basedOn w:val="15"/>
    <w:unhideWhenUsed/>
    <w:qFormat/>
    <w:uiPriority w:val="99"/>
    <w:rPr>
      <w:color w:val="0000FF" w:themeColor="hyperlink"/>
      <w:u w:val="single"/>
    </w:rPr>
  </w:style>
  <w:style w:type="character" w:styleId="19">
    <w:name w:val="annotation reference"/>
    <w:basedOn w:val="15"/>
    <w:unhideWhenUsed/>
    <w:qFormat/>
    <w:uiPriority w:val="99"/>
    <w:rPr>
      <w:sz w:val="21"/>
      <w:szCs w:val="21"/>
    </w:rPr>
  </w:style>
  <w:style w:type="character" w:customStyle="1" w:styleId="20">
    <w:name w:val="页眉 Char"/>
    <w:basedOn w:val="15"/>
    <w:link w:val="10"/>
    <w:qFormat/>
    <w:uiPriority w:val="99"/>
    <w:rPr>
      <w:sz w:val="18"/>
      <w:szCs w:val="18"/>
    </w:rPr>
  </w:style>
  <w:style w:type="character" w:customStyle="1" w:styleId="21">
    <w:name w:val="页脚 Char"/>
    <w:basedOn w:val="15"/>
    <w:link w:val="9"/>
    <w:qFormat/>
    <w:uiPriority w:val="99"/>
    <w:rPr>
      <w:sz w:val="18"/>
      <w:szCs w:val="18"/>
    </w:rPr>
  </w:style>
  <w:style w:type="character" w:customStyle="1" w:styleId="22">
    <w:name w:val="标题 2 Char"/>
    <w:basedOn w:val="15"/>
    <w:link w:val="3"/>
    <w:qFormat/>
    <w:uiPriority w:val="99"/>
    <w:rPr>
      <w:rFonts w:ascii="Cambria" w:hAnsi="Cambria" w:eastAsia="宋体" w:cs="Times New Roman"/>
      <w:b/>
      <w:bCs/>
      <w:kern w:val="0"/>
      <w:sz w:val="32"/>
      <w:szCs w:val="32"/>
    </w:rPr>
  </w:style>
  <w:style w:type="character" w:customStyle="1" w:styleId="23">
    <w:name w:val="标题 3 Char"/>
    <w:basedOn w:val="15"/>
    <w:link w:val="4"/>
    <w:qFormat/>
    <w:uiPriority w:val="99"/>
    <w:rPr>
      <w:rFonts w:ascii="Times New Roman" w:hAnsi="Times New Roman" w:eastAsia="宋体" w:cs="Times New Roman"/>
      <w:b/>
      <w:bCs/>
      <w:kern w:val="0"/>
      <w:sz w:val="32"/>
      <w:szCs w:val="32"/>
    </w:rPr>
  </w:style>
  <w:style w:type="character" w:customStyle="1" w:styleId="24">
    <w:name w:val="批注框文本 Char"/>
    <w:basedOn w:val="15"/>
    <w:link w:val="8"/>
    <w:semiHidden/>
    <w:qFormat/>
    <w:uiPriority w:val="99"/>
    <w:rPr>
      <w:rFonts w:ascii="Times New Roman" w:hAnsi="Times New Roman" w:eastAsia="宋体" w:cs="Times New Roman"/>
      <w:sz w:val="18"/>
      <w:szCs w:val="18"/>
    </w:rPr>
  </w:style>
  <w:style w:type="character" w:customStyle="1" w:styleId="25">
    <w:name w:val="批注文字 Char"/>
    <w:basedOn w:val="15"/>
    <w:link w:val="6"/>
    <w:qFormat/>
    <w:uiPriority w:val="99"/>
    <w:rPr>
      <w:rFonts w:ascii="Times New Roman" w:hAnsi="Times New Roman" w:eastAsia="宋体" w:cs="Times New Roman"/>
      <w:szCs w:val="21"/>
    </w:rPr>
  </w:style>
  <w:style w:type="character" w:customStyle="1" w:styleId="26">
    <w:name w:val="批注主题 Char"/>
    <w:basedOn w:val="25"/>
    <w:link w:val="13"/>
    <w:semiHidden/>
    <w:qFormat/>
    <w:uiPriority w:val="99"/>
    <w:rPr>
      <w:rFonts w:ascii="Times New Roman" w:hAnsi="Times New Roman" w:eastAsia="宋体" w:cs="Times New Roman"/>
      <w:b/>
      <w:bCs/>
      <w:szCs w:val="21"/>
    </w:rPr>
  </w:style>
  <w:style w:type="character" w:customStyle="1" w:styleId="27">
    <w:name w:val="文档结构图 Char"/>
    <w:basedOn w:val="15"/>
    <w:link w:val="5"/>
    <w:semiHidden/>
    <w:qFormat/>
    <w:uiPriority w:val="99"/>
    <w:rPr>
      <w:rFonts w:ascii="宋体" w:hAnsi="Times New Roman" w:eastAsia="宋体" w:cs="Times New Roman"/>
      <w:sz w:val="18"/>
      <w:szCs w:val="18"/>
    </w:rPr>
  </w:style>
  <w:style w:type="character" w:customStyle="1" w:styleId="28">
    <w:name w:val="标题 1 Char"/>
    <w:basedOn w:val="15"/>
    <w:link w:val="2"/>
    <w:qFormat/>
    <w:uiPriority w:val="9"/>
    <w:rPr>
      <w:rFonts w:ascii="Times New Roman" w:hAnsi="Times New Roman" w:eastAsia="宋体" w:cs="Times New Roman"/>
      <w:b/>
      <w:bCs/>
      <w:kern w:val="44"/>
      <w:sz w:val="44"/>
      <w:szCs w:val="44"/>
    </w:rPr>
  </w:style>
  <w:style w:type="paragraph" w:customStyle="1" w:styleId="29">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66091" w:themeColor="accent1" w:themeShade="BF"/>
      <w:kern w:val="0"/>
      <w:sz w:val="32"/>
      <w:szCs w:val="32"/>
    </w:rPr>
  </w:style>
  <w:style w:type="paragraph" w:customStyle="1" w:styleId="30">
    <w:name w:val="修订1"/>
    <w:hidden/>
    <w:semiHidden/>
    <w:qFormat/>
    <w:uiPriority w:val="99"/>
    <w:rPr>
      <w:rFonts w:ascii="Times New Roman" w:hAnsi="Times New Roman" w:eastAsia="宋体" w:cs="Times New Roman"/>
      <w:kern w:val="2"/>
      <w:sz w:val="21"/>
      <w:szCs w:val="21"/>
      <w:lang w:val="en-US" w:eastAsia="zh-CN" w:bidi="ar-SA"/>
    </w:rPr>
  </w:style>
  <w:style w:type="character" w:customStyle="1" w:styleId="31">
    <w:name w:val="页码 New New"/>
    <w:basedOn w:val="15"/>
    <w:qFormat/>
    <w:uiPriority w:val="0"/>
  </w:style>
  <w:style w:type="paragraph" w:styleId="32">
    <w:name w:val="List Paragraph"/>
    <w:basedOn w:val="1"/>
    <w:qFormat/>
    <w:uiPriority w:val="34"/>
    <w:pPr>
      <w:ind w:firstLine="420" w:firstLineChars="200"/>
    </w:pPr>
  </w:style>
  <w:style w:type="character" w:styleId="33">
    <w:name w:val="Placeholder Text"/>
    <w:basedOn w:val="15"/>
    <w:semiHidden/>
    <w:qFormat/>
    <w:uiPriority w:val="99"/>
    <w:rPr>
      <w:color w:val="808080"/>
    </w:rPr>
  </w:style>
  <w:style w:type="paragraph" w:customStyle="1" w:styleId="34">
    <w:name w:val="修订2"/>
    <w:hidden/>
    <w:unhideWhenUsed/>
    <w:qFormat/>
    <w:uiPriority w:val="99"/>
    <w:rPr>
      <w:rFonts w:ascii="Times New Roman" w:hAnsi="Times New Roman" w:eastAsia="宋体" w:cs="Times New Roman"/>
      <w:kern w:val="2"/>
      <w:sz w:val="21"/>
      <w:szCs w:val="21"/>
      <w:lang w:val="en-US" w:eastAsia="zh-CN" w:bidi="ar-SA"/>
    </w:rPr>
  </w:style>
  <w:style w:type="paragraph" w:customStyle="1" w:styleId="35">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paragraph" w:customStyle="1" w:styleId="36">
    <w:name w:val="修订3"/>
    <w:hidden/>
    <w:unhideWhenUsed/>
    <w:qFormat/>
    <w:uiPriority w:val="99"/>
    <w:rPr>
      <w:rFonts w:ascii="Times New Roman" w:hAnsi="Times New Roman" w:eastAsia="宋体" w:cs="Times New Roman"/>
      <w:kern w:val="2"/>
      <w:sz w:val="21"/>
      <w:szCs w:val="21"/>
      <w:lang w:val="en-US" w:eastAsia="zh-CN" w:bidi="ar-SA"/>
    </w:rPr>
  </w:style>
  <w:style w:type="character" w:customStyle="1" w:styleId="37">
    <w:name w:val="16"/>
    <w:qFormat/>
    <w:uiPriority w:val="0"/>
    <w:rPr>
      <w:rFonts w:hint="default" w:ascii="Times New Roman" w:hAnsi="Times New Roman" w:eastAsia="宋体" w:cs="Times New Roman"/>
      <w:b/>
      <w:bCs/>
      <w:sz w:val="20"/>
      <w:szCs w:val="20"/>
    </w:rPr>
  </w:style>
  <w:style w:type="paragraph" w:customStyle="1" w:styleId="38">
    <w:name w:val="p0"/>
    <w:basedOn w:val="1"/>
    <w:qFormat/>
    <w:uiPriority w:val="0"/>
    <w:pPr>
      <w:widowControl/>
    </w:pPr>
    <w:rPr>
      <w:kern w:val="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C3955A5-49DB-4A35-87CD-A05DD8CF0D43}">
  <ds:schemaRefs/>
</ds:datastoreItem>
</file>

<file path=docProps/app.xml><?xml version="1.0" encoding="utf-8"?>
<Properties xmlns="http://schemas.openxmlformats.org/officeDocument/2006/extended-properties" xmlns:vt="http://schemas.openxmlformats.org/officeDocument/2006/docPropsVTypes">
  <Template>Normal.dotm</Template>
  <Pages>13</Pages>
  <Words>1090</Words>
  <Characters>6217</Characters>
  <Lines>51</Lines>
  <Paragraphs>14</Paragraphs>
  <TotalTime>0</TotalTime>
  <ScaleCrop>false</ScaleCrop>
  <LinksUpToDate>false</LinksUpToDate>
  <CharactersWithSpaces>7293</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2018-09-29T02:28:00Z</dcterms:created>
  <cp:lastPrinted>2018-07-30T02:54:00Z</cp:lastPrinted>
  <dcterms:modified xsi:type="dcterms:W3CDTF">2020-11-09T07:51:21Z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